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5" w:name="mu_fit.py-マニュアル"/>
    <w:p>
      <w:pPr>
        <w:pStyle w:val="Heading1"/>
      </w:pPr>
      <w:r>
        <w:t xml:space="preserve">mu_fit.py マニュアル</w:t>
      </w:r>
    </w:p>
    <w:bookmarkStart w:id="9" w:name="プログラムの目的"/>
    <w:p>
      <w:pPr>
        <w:pStyle w:val="Heading2"/>
      </w:pPr>
      <w:r>
        <w:rPr>
          <w:rFonts w:hint="eastAsia"/>
        </w:rPr>
        <w:t xml:space="preserve">プログラムの目的</w:t>
      </w:r>
    </w:p>
    <w:p>
      <w:pPr>
        <w:pStyle w:val="FirstParagraph"/>
      </w:pPr>
      <w:r>
        <w:t xml:space="preserve">mu_fit.py は、Hall </w:t>
      </w:r>
      <w:r>
        <w:rPr>
          <w:rFonts w:hint="eastAsia"/>
        </w:rPr>
        <w:t xml:space="preserve">効果測定などから得られた</w:t>
      </w:r>
      <w:r>
        <w:t xml:space="preserve"> </w:t>
      </w:r>
      <w:r>
        <w:rPr>
          <w:rFonts w:hint="eastAsia"/>
          <w:b/>
          <w:bCs/>
        </w:rPr>
        <w:t xml:space="preserve">移動度</w:t>
      </w:r>
      <w:r>
        <w:rPr>
          <w:b/>
          <w:bCs/>
        </w:rPr>
        <w:t xml:space="preserve"> μ </w:t>
      </w:r>
      <w:r>
        <w:rPr>
          <w:rFonts w:hint="eastAsia"/>
          <w:b/>
          <w:bCs/>
        </w:rPr>
        <w:t xml:space="preserve">の温度依存データ</w:t>
      </w:r>
      <w:r>
        <w:rPr>
          <w:rFonts w:hint="eastAsia"/>
        </w:rPr>
        <w:t xml:space="preserve">を、複数の散乱機構モデルに基づいてフィッティングするための解析プログラムです。</w:t>
      </w:r>
      <w:r>
        <w:br/>
      </w:r>
      <w:r>
        <w:rPr>
          <w:rFonts w:hint="eastAsia"/>
        </w:rPr>
        <w:t xml:space="preserve">単なる最適化にとどまらず、</w:t>
      </w:r>
    </w:p>
    <w:p>
      <w:pPr>
        <w:pStyle w:val="Compact"/>
        <w:numPr>
          <w:ilvl w:val="0"/>
          <w:numId w:val="1001"/>
        </w:numPr>
      </w:pPr>
      <w:r>
        <w:rPr>
          <w:rFonts w:hint="eastAsia"/>
        </w:rPr>
        <w:t xml:space="preserve">指定した温度範囲のみを用いたフィッティング</w:t>
      </w:r>
    </w:p>
    <w:p>
      <w:pPr>
        <w:pStyle w:val="Compact"/>
        <w:numPr>
          <w:ilvl w:val="0"/>
          <w:numId w:val="1001"/>
        </w:numPr>
      </w:pPr>
      <w:r>
        <w:rPr>
          <w:rFonts w:hint="eastAsia"/>
        </w:rPr>
        <w:t xml:space="preserve">パラメータ誤差（共分散行列）評価</w:t>
      </w:r>
    </w:p>
    <w:p>
      <w:pPr>
        <w:pStyle w:val="Compact"/>
        <w:numPr>
          <w:ilvl w:val="0"/>
          <w:numId w:val="1001"/>
        </w:numPr>
      </w:pPr>
      <w:r>
        <w:rPr>
          <w:rFonts w:hint="eastAsia"/>
        </w:rPr>
        <w:t xml:space="preserve">誤差伝播によるモデル予測誤差帯の推定</w:t>
      </w:r>
    </w:p>
    <w:p>
      <w:pPr>
        <w:pStyle w:val="Compact"/>
        <w:numPr>
          <w:ilvl w:val="0"/>
          <w:numId w:val="1001"/>
        </w:numPr>
      </w:pPr>
      <w:r>
        <w:rPr>
          <w:rFonts w:hint="eastAsia"/>
        </w:rPr>
        <w:t xml:space="preserve">パラメータ間相関・縮退方向の診断</w:t>
      </w:r>
    </w:p>
    <w:p>
      <w:pPr>
        <w:pStyle w:val="Compact"/>
        <w:numPr>
          <w:ilvl w:val="0"/>
          <w:numId w:val="1001"/>
        </w:numPr>
      </w:pPr>
      <w:r>
        <w:rPr>
          <w:rFonts w:hint="eastAsia"/>
        </w:rPr>
        <w:t xml:space="preserve">「数値的に固定を検討すべきパラメータ」の提案</w:t>
      </w:r>
    </w:p>
    <w:p>
      <w:pPr>
        <w:pStyle w:val="FirstParagraph"/>
      </w:pPr>
      <w:r>
        <w:rPr>
          <w:rFonts w:hint="eastAsia"/>
        </w:rPr>
        <w:t xml:space="preserve">までを一貫して行うことを目的としています。</w:t>
      </w:r>
    </w:p>
    <w:p>
      <w:pPr>
        <w:pStyle w:val="BodyText"/>
      </w:pPr>
      <w:r>
        <w:rPr>
          <w:rFonts w:hint="eastAsia"/>
        </w:rPr>
        <w:t xml:space="preserve">研究用途（論文・報告書）で「どこまで決まっていて、どこが決まっていないか」を可視化することを強く意識した設計になっています。</w:t>
      </w:r>
    </w:p>
    <w:p>
      <w:r>
        <w:pict>
          <v:rect style="width:0;height:1.5pt" o:hralign="center" o:hrstd="t" o:hr="t"/>
        </w:pict>
      </w:r>
    </w:p>
    <w:bookmarkEnd w:id="9"/>
    <w:bookmarkStart w:id="15" w:name="原理"/>
    <w:p>
      <w:pPr>
        <w:pStyle w:val="Heading2"/>
      </w:pPr>
      <w:r>
        <w:rPr>
          <w:rFonts w:hint="eastAsia"/>
        </w:rPr>
        <w:t xml:space="preserve">原理</w:t>
      </w:r>
    </w:p>
    <w:bookmarkStart w:id="10" w:name="移動度モデル"/>
    <w:p>
      <w:pPr>
        <w:pStyle w:val="Heading3"/>
      </w:pPr>
      <w:r>
        <w:rPr>
          <w:rFonts w:hint="eastAsia"/>
        </w:rPr>
        <w:t xml:space="preserve">移動度モデル</w:t>
      </w:r>
    </w:p>
    <w:p>
      <w:pPr>
        <w:pStyle w:val="FirstParagraph"/>
      </w:pPr>
      <w:r>
        <w:rPr>
          <w:rFonts w:hint="eastAsia"/>
        </w:rPr>
        <w:t xml:space="preserve">全移動度</w:t>
      </w:r>
      <w:r>
        <w:t xml:space="preserve"> μ </w:t>
      </w:r>
      <w:r>
        <w:rPr>
          <w:rFonts w:hint="eastAsia"/>
        </w:rPr>
        <w:t xml:space="preserve">は、散乱率の加算則に基づき</w:t>
      </w:r>
    </w:p>
    <w:p>
      <w:pPr>
        <w:pStyle w:val="BodyText"/>
      </w:pPr>
      <m:oMathPara>
        <m:oMathParaPr>
          <m:jc m:val="center"/>
        </m:oMathParaPr>
        <m:oMath>
          <m:f>
            <m:fPr>
              <m:type m:val="bar"/>
            </m:fPr>
            <m:num>
              <m:r>
                <m:t>1</m:t>
              </m:r>
            </m:num>
            <m:den>
              <m:r>
                <m:t>μ</m:t>
              </m:r>
              <m:r>
                <m:rPr>
                  <m:sty m:val="p"/>
                </m:rPr>
                <m:t>(</m:t>
              </m:r>
              <m:r>
                <m:t>T</m:t>
              </m:r>
              <m:r>
                <m:rPr>
                  <m:sty m:val="p"/>
                </m:rPr>
                <m:t>)</m:t>
              </m:r>
            </m:den>
          </m:f>
          <m:r>
            <m:rPr>
              <m:sty m:val="p"/>
            </m:rPr>
            <m:t>=</m:t>
          </m:r>
          <m:d>
            <m:dPr>
              <m:begChr m:val="("/>
              <m:sepChr m:val=""/>
              <m:endChr m:val=")"/>
              <m:grow/>
            </m:dPr>
            <m:e>
              <m:f>
                <m:fPr>
                  <m:type m:val="bar"/>
                </m:fPr>
                <m:num>
                  <m:r>
                    <m:t>1</m:t>
                  </m:r>
                </m:num>
                <m:den>
                  <m:sSub>
                    <m:e>
                      <m:r>
                        <m:t>μ</m:t>
                      </m:r>
                    </m:e>
                    <m:sub>
                      <m:r>
                        <m:rPr>
                          <m:sty m:val="p"/>
                        </m:rPr>
                        <m:t>o</m:t>
                      </m:r>
                      <m:r>
                        <m:rPr>
                          <m:sty m:val="p"/>
                        </m:rPr>
                        <m:t>p</m:t>
                      </m:r>
                    </m:sub>
                  </m:sSub>
                </m:den>
              </m:f>
              <m:r>
                <m:rPr>
                  <m:sty m:val="p"/>
                </m:rPr>
                <m:t>+</m:t>
              </m:r>
              <m:f>
                <m:fPr>
                  <m:type m:val="bar"/>
                </m:fPr>
                <m:num>
                  <m:r>
                    <m:t>1</m:t>
                  </m:r>
                </m:num>
                <m:den>
                  <m:sSub>
                    <m:e>
                      <m:r>
                        <m:t>μ</m:t>
                      </m:r>
                    </m:e>
                    <m:sub>
                      <m:r>
                        <m:rPr>
                          <m:sty m:val="p"/>
                        </m:rPr>
                        <m:t>a</m:t>
                      </m:r>
                      <m:r>
                        <m:rPr>
                          <m:sty m:val="p"/>
                        </m:rPr>
                        <m:t>c</m:t>
                      </m:r>
                    </m:sub>
                  </m:sSub>
                </m:den>
              </m:f>
              <m:r>
                <m:rPr>
                  <m:sty m:val="p"/>
                </m:rPr>
                <m:t>+</m:t>
              </m:r>
              <m:f>
                <m:fPr>
                  <m:type m:val="bar"/>
                </m:fPr>
                <m:num>
                  <m:r>
                    <m:t>1</m:t>
                  </m:r>
                </m:num>
                <m:den>
                  <m:sSub>
                    <m:e>
                      <m:r>
                        <m:t>μ</m:t>
                      </m:r>
                    </m:e>
                    <m:sub>
                      <m:r>
                        <m:rPr>
                          <m:sty m:val="p"/>
                        </m:rPr>
                        <m:t>n</m:t>
                      </m:r>
                      <m:r>
                        <m:rPr>
                          <m:sty m:val="p"/>
                        </m:rPr>
                        <m:t>i</m:t>
                      </m:r>
                    </m:sub>
                  </m:sSub>
                </m:den>
              </m:f>
              <m:r>
                <m:rPr>
                  <m:sty m:val="p"/>
                </m:rPr>
                <m:t>+</m:t>
              </m:r>
              <m:f>
                <m:fPr>
                  <m:type m:val="bar"/>
                </m:fPr>
                <m:num>
                  <m:r>
                    <m:t>1</m:t>
                  </m:r>
                </m:num>
                <m:den>
                  <m:sSub>
                    <m:e>
                      <m:r>
                        <m:t>μ</m:t>
                      </m:r>
                    </m:e>
                    <m:sub>
                      <m:r>
                        <m:rPr>
                          <m:sty m:val="p"/>
                        </m:rPr>
                        <m:t>i</m:t>
                      </m:r>
                      <m:r>
                        <m:rPr>
                          <m:sty m:val="p"/>
                        </m:rPr>
                        <m:t>i</m:t>
                      </m:r>
                    </m:sub>
                  </m:sSub>
                </m:den>
              </m:f>
            </m:e>
          </m:d>
          <m:r>
            <m:rPr>
              <m:sty m:val="p"/>
            </m:rPr>
            <m:t>exp</m:t>
          </m:r>
          <m:r>
            <m:t>​</m:t>
          </m:r>
          <m:d>
            <m:dPr>
              <m:begChr m:val="("/>
              <m:sepChr m:val=""/>
              <m:endChr m:val=")"/>
              <m:grow/>
            </m:dPr>
            <m:e>
              <m:f>
                <m:fPr>
                  <m:type m:val="bar"/>
                </m:fPr>
                <m:num>
                  <m:sSub>
                    <m:e>
                      <m:r>
                        <m:t>V</m:t>
                      </m:r>
                    </m:e>
                    <m:sub>
                      <m:r>
                        <m:t>B</m:t>
                      </m:r>
                    </m:sub>
                  </m:sSub>
                </m:num>
                <m:den>
                  <m:sSub>
                    <m:e>
                      <m:r>
                        <m:t>k</m:t>
                      </m:r>
                    </m:e>
                    <m:sub>
                      <m:r>
                        <m:t>B</m:t>
                      </m:r>
                    </m:sub>
                  </m:sSub>
                  <m:r>
                    <m:t>T</m:t>
                  </m:r>
                </m:den>
              </m:f>
            </m:e>
          </m:d>
        </m:oMath>
      </m:oMathPara>
    </w:p>
    <w:p>
      <w:pPr>
        <w:pStyle w:val="FirstParagraph"/>
      </w:pPr>
      <w:r>
        <w:rPr>
          <w:rFonts w:hint="eastAsia"/>
        </w:rPr>
        <w:t xml:space="preserve">で表されます。</w:t>
      </w:r>
    </w:p>
    <w:p>
      <w:pPr>
        <w:pStyle w:val="BodyText"/>
      </w:pPr>
      <w:r>
        <w:rPr>
          <w:rFonts w:hint="eastAsia"/>
        </w:rPr>
        <w:t xml:space="preserve">各項は以下の温度依存性を持ちます。</w:t>
      </w:r>
    </w:p>
    <w:p>
      <w:pPr>
        <w:numPr>
          <w:ilvl w:val="0"/>
          <w:numId w:val="1002"/>
        </w:numPr>
      </w:pPr>
      <w:r>
        <w:rPr>
          <w:rFonts w:hint="eastAsia"/>
        </w:rPr>
        <w:t xml:space="preserve">光学フォノン散乱</w:t>
      </w:r>
      <w:r>
        <w:br/>
      </w:r>
    </w:p>
    <w:p>
      <w:pPr>
        <w:pStyle w:val="BodyText"/>
      </w:pPr>
      <m:oMathPara>
        <m:oMathParaPr>
          <m:jc m:val="center"/>
        </m:oMathParaPr>
        <m:oMath>
          <m:sSubSup>
            <m:e>
              <m:r>
                <m:t>μ</m:t>
              </m:r>
            </m:e>
            <m:sub>
              <m:r>
                <m:rPr>
                  <m:sty m:val="p"/>
                </m:rPr>
                <m:t>o</m:t>
              </m:r>
              <m:r>
                <m:rPr>
                  <m:sty m:val="p"/>
                </m:rPr>
                <m:t>p</m:t>
              </m:r>
            </m:sub>
            <m:sup>
              <m:r>
                <m:rPr>
                  <m:sty m:val="p"/>
                </m:rPr>
                <m:t>−</m:t>
              </m:r>
              <m:r>
                <m:t>1</m:t>
              </m:r>
            </m:sup>
          </m:sSubSup>
          <m:r>
            <m:rPr>
              <m:sty m:val="p"/>
            </m:rPr>
            <m:t>∝</m:t>
          </m:r>
          <m:sSub>
            <m:e>
              <m:r>
                <m:t>a</m:t>
              </m:r>
            </m:e>
            <m:sub>
              <m:r>
                <m:rPr>
                  <m:sty m:val="p"/>
                </m:rPr>
                <m:t>o</m:t>
              </m:r>
              <m:r>
                <m:rPr>
                  <m:sty m:val="p"/>
                </m:rPr>
                <m:t>p</m:t>
              </m:r>
            </m:sub>
          </m:sSub>
          <m:sSup>
            <m:e>
              <m:d>
                <m:dPr>
                  <m:begChr m:val="["/>
                  <m:sepChr m:val=""/>
                  <m:endChr m:val="]"/>
                  <m:grow/>
                </m:dPr>
                <m:e>
                  <m:r>
                    <m:rPr>
                      <m:sty m:val="p"/>
                    </m:rPr>
                    <m:t>exp</m:t>
                  </m:r>
                  <m:r>
                    <m:t>​</m:t>
                  </m:r>
                  <m:d>
                    <m:dPr>
                      <m:begChr m:val="("/>
                      <m:sepChr m:val=""/>
                      <m:endChr m:val=")"/>
                      <m:grow/>
                    </m:dPr>
                    <m:e>
                      <m:f>
                        <m:fPr>
                          <m:type m:val="bar"/>
                        </m:fPr>
                        <m:num>
                          <m:sSub>
                            <m:e>
                              <m:r>
                                <m:t>E</m:t>
                              </m:r>
                            </m:e>
                            <m:sub>
                              <m:r>
                                <m:rPr>
                                  <m:sty m:val="p"/>
                                </m:rPr>
                                <m:t>o</m:t>
                              </m:r>
                              <m:r>
                                <m:rPr>
                                  <m:sty m:val="p"/>
                                </m:rPr>
                                <m:t>p</m:t>
                              </m:r>
                            </m:sub>
                          </m:sSub>
                        </m:num>
                        <m:den>
                          <m:sSub>
                            <m:e>
                              <m:r>
                                <m:t>k</m:t>
                              </m:r>
                            </m:e>
                            <m:sub>
                              <m:r>
                                <m:t>B</m:t>
                              </m:r>
                            </m:sub>
                          </m:sSub>
                          <m:r>
                            <m:t>T</m:t>
                          </m:r>
                        </m:den>
                      </m:f>
                    </m:e>
                  </m:d>
                  <m:r>
                    <m:rPr>
                      <m:sty m:val="p"/>
                    </m:rPr>
                    <m:t>−</m:t>
                  </m:r>
                  <m:r>
                    <m:t>1</m:t>
                  </m:r>
                </m:e>
              </m:d>
            </m:e>
            <m:sup>
              <m:r>
                <m:rPr>
                  <m:sty m:val="p"/>
                </m:rPr>
                <m:t>−</m:t>
              </m:r>
              <m:r>
                <m:t>1</m:t>
              </m:r>
            </m:sup>
          </m:sSup>
        </m:oMath>
      </m:oMathPara>
    </w:p>
    <w:p>
      <w:pPr>
        <w:numPr>
          <w:ilvl w:val="0"/>
          <w:numId w:val="1002"/>
        </w:numPr>
      </w:pPr>
      <w:r>
        <w:rPr>
          <w:rFonts w:hint="eastAsia"/>
        </w:rPr>
        <w:t xml:space="preserve">音響フォノン散乱</w:t>
      </w:r>
      <w:r>
        <w:br/>
      </w:r>
    </w:p>
    <w:p>
      <w:pPr>
        <w:pStyle w:val="BodyText"/>
      </w:pPr>
      <m:oMathPara>
        <m:oMathParaPr>
          <m:jc m:val="center"/>
        </m:oMathParaPr>
        <m:oMath>
          <m:sSubSup>
            <m:e>
              <m:r>
                <m:t>μ</m:t>
              </m:r>
            </m:e>
            <m:sub>
              <m:r>
                <m:rPr>
                  <m:sty m:val="p"/>
                </m:rPr>
                <m:t>a</m:t>
              </m:r>
              <m:r>
                <m:rPr>
                  <m:sty m:val="p"/>
                </m:rPr>
                <m:t>c</m:t>
              </m:r>
            </m:sub>
            <m:sup>
              <m:r>
                <m:rPr>
                  <m:sty m:val="p"/>
                </m:rPr>
                <m:t>−</m:t>
              </m:r>
              <m:r>
                <m:t>1</m:t>
              </m:r>
            </m:sup>
          </m:sSubSup>
          <m:r>
            <m:rPr>
              <m:sty m:val="p"/>
            </m:rPr>
            <m:t>∝</m:t>
          </m:r>
          <m:sSub>
            <m:e>
              <m:r>
                <m:t>a</m:t>
              </m:r>
            </m:e>
            <m:sub>
              <m:r>
                <m:t>1</m:t>
              </m:r>
            </m:sub>
          </m:sSub>
          <m:sSup>
            <m:e>
              <m:r>
                <m:t>T</m:t>
              </m:r>
            </m:e>
            <m:sup>
              <m:r>
                <m:t>3</m:t>
              </m:r>
              <m:r>
                <m:rPr>
                  <m:sty m:val="p"/>
                </m:rPr>
                <m:t>/</m:t>
              </m:r>
              <m:r>
                <m:t>2</m:t>
              </m:r>
            </m:sup>
          </m:sSup>
        </m:oMath>
      </m:oMathPara>
    </w:p>
    <w:p>
      <w:pPr>
        <w:numPr>
          <w:ilvl w:val="0"/>
          <w:numId w:val="1002"/>
        </w:numPr>
      </w:pPr>
      <w:r>
        <w:rPr>
          <w:rFonts w:hint="eastAsia"/>
        </w:rPr>
        <w:t xml:space="preserve">中性不純物散乱</w:t>
      </w:r>
      <w:r>
        <w:br/>
      </w:r>
    </w:p>
    <w:p>
      <w:pPr>
        <w:pStyle w:val="BodyText"/>
      </w:pPr>
      <m:oMathPara>
        <m:oMathParaPr>
          <m:jc m:val="center"/>
        </m:oMathParaPr>
        <m:oMath>
          <m:sSubSup>
            <m:e>
              <m:r>
                <m:t>μ</m:t>
              </m:r>
            </m:e>
            <m:sub>
              <m:r>
                <m:rPr>
                  <m:sty m:val="p"/>
                </m:rPr>
                <m:t>n</m:t>
              </m:r>
              <m:r>
                <m:rPr>
                  <m:sty m:val="p"/>
                </m:rPr>
                <m:t>i</m:t>
              </m:r>
            </m:sub>
            <m:sup>
              <m:r>
                <m:rPr>
                  <m:sty m:val="p"/>
                </m:rPr>
                <m:t>−</m:t>
              </m:r>
              <m:r>
                <m:t>1</m:t>
              </m:r>
            </m:sup>
          </m:sSubSup>
          <m:r>
            <m:rPr>
              <m:sty m:val="p"/>
            </m:rPr>
            <m:t>∝</m:t>
          </m:r>
          <m:sSub>
            <m:e>
              <m:r>
                <m:t>a</m:t>
              </m:r>
            </m:e>
            <m:sub>
              <m:r>
                <m:t>2</m:t>
              </m:r>
            </m:sub>
          </m:sSub>
        </m:oMath>
      </m:oMathPara>
    </w:p>
    <w:p>
      <w:pPr>
        <w:numPr>
          <w:ilvl w:val="0"/>
          <w:numId w:val="1002"/>
        </w:numPr>
      </w:pPr>
      <w:r>
        <w:rPr>
          <w:rFonts w:hint="eastAsia"/>
        </w:rPr>
        <w:t xml:space="preserve">イオン化不純物散乱</w:t>
      </w:r>
      <w:r>
        <w:br/>
      </w:r>
    </w:p>
    <w:p>
      <w:pPr>
        <w:pStyle w:val="BodyText"/>
      </w:pPr>
      <m:oMathPara>
        <m:oMathParaPr>
          <m:jc m:val="center"/>
        </m:oMathParaPr>
        <m:oMath>
          <m:sSubSup>
            <m:e>
              <m:r>
                <m:t>μ</m:t>
              </m:r>
            </m:e>
            <m:sub>
              <m:r>
                <m:rPr>
                  <m:sty m:val="p"/>
                </m:rPr>
                <m:t>i</m:t>
              </m:r>
              <m:r>
                <m:rPr>
                  <m:sty m:val="p"/>
                </m:rPr>
                <m:t>i</m:t>
              </m:r>
            </m:sub>
            <m:sup>
              <m:r>
                <m:rPr>
                  <m:sty m:val="p"/>
                </m:rPr>
                <m:t>−</m:t>
              </m:r>
              <m:r>
                <m:t>1</m:t>
              </m:r>
            </m:sup>
          </m:sSubSup>
          <m:r>
            <m:rPr>
              <m:sty m:val="p"/>
            </m:rPr>
            <m:t>∝</m:t>
          </m:r>
          <m:sSub>
            <m:e>
              <m:r>
                <m:t>a</m:t>
              </m:r>
            </m:e>
            <m:sub>
              <m:r>
                <m:t>3</m:t>
              </m:r>
            </m:sub>
          </m:sSub>
          <m:sSup>
            <m:e>
              <m:r>
                <m:t>T</m:t>
              </m:r>
            </m:e>
            <m:sup>
              <m:r>
                <m:rPr>
                  <m:sty m:val="p"/>
                </m:rPr>
                <m:t>−</m:t>
              </m:r>
              <m:r>
                <m:t>3</m:t>
              </m:r>
              <m:r>
                <m:rPr>
                  <m:sty m:val="p"/>
                </m:rPr>
                <m:t>/</m:t>
              </m:r>
              <m:r>
                <m:t>2</m:t>
              </m:r>
            </m:sup>
          </m:sSup>
        </m:oMath>
      </m:oMathPara>
    </w:p>
    <w:p>
      <w:pPr>
        <w:pStyle w:val="FirstParagraph"/>
      </w:pPr>
      <w:r>
        <w:t xml:space="preserve">ここでフィッティングパラメータは</w:t>
      </w:r>
      <w:r>
        <w:br/>
      </w:r>
      <w:r>
        <w:t xml:space="preserve">(aop, a1, a2, a3, VB) の 5 つです。</w:t>
      </w:r>
    </w:p>
    <w:p>
      <w:r>
        <w:pict>
          <v:rect style="width:0;height:1.5pt" o:hralign="center" o:hrstd="t" o:hr="t"/>
        </w:pict>
      </w:r>
    </w:p>
    <w:bookmarkEnd w:id="10"/>
    <w:bookmarkStart w:id="11" w:name="フィッティング方法"/>
    <w:p>
      <w:pPr>
        <w:pStyle w:val="Heading3"/>
      </w:pPr>
      <w:r>
        <w:rPr>
          <w:rFonts w:hint="eastAsia"/>
        </w:rPr>
        <w:t xml:space="preserve">フィッティング方法</w:t>
      </w:r>
    </w:p>
    <w:p>
      <w:pPr>
        <w:pStyle w:val="FirstParagraph"/>
      </w:pPr>
      <w:r>
        <w:rPr>
          <w:rFonts w:hint="eastAsia"/>
        </w:rPr>
        <w:t xml:space="preserve">観測値</w:t>
      </w:r>
      <w:r>
        <w:t xml:space="preserve"> μ_exp とモデル μ_model </w:t>
      </w:r>
      <w:r>
        <w:rPr>
          <w:rFonts w:hint="eastAsia"/>
        </w:rPr>
        <w:t xml:space="preserve">の差を</w:t>
      </w:r>
      <w:r>
        <w:t xml:space="preserve"> </w:t>
      </w:r>
      <w:r>
        <w:rPr>
          <w:rFonts w:hint="eastAsia"/>
          <w:b/>
          <w:bCs/>
        </w:rPr>
        <w:t xml:space="preserve">対数空間</w:t>
      </w:r>
      <w:r>
        <w:rPr>
          <w:rFonts w:hint="eastAsia"/>
        </w:rPr>
        <w:t xml:space="preserve">で定義します。</w:t>
      </w:r>
    </w:p>
    <w:p>
      <w:pPr>
        <w:pStyle w:val="BodyText"/>
      </w:pPr>
      <m:oMathPara>
        <m:oMathParaPr>
          <m:jc m:val="center"/>
        </m:oMathParaPr>
        <m:oMath>
          <m:sSub>
            <m:e>
              <m:r>
                <m:t>r</m:t>
              </m:r>
            </m:e>
            <m:sub>
              <m:r>
                <m:t>i</m:t>
              </m:r>
            </m:sub>
          </m:sSub>
          <m:r>
            <m:rPr>
              <m:sty m:val="p"/>
            </m:rPr>
            <m:t>=</m:t>
          </m:r>
          <m:sSub>
            <m:e>
              <m:r>
                <m:rPr>
                  <m:sty m:val="p"/>
                </m:rPr>
                <m:t>log</m:t>
              </m:r>
            </m:e>
            <m:sub>
              <m:r>
                <m:t>10</m:t>
              </m:r>
            </m:sub>
          </m:sSub>
          <m:sSub>
            <m:e>
              <m:r>
                <m:t>μ</m:t>
              </m:r>
            </m:e>
            <m:sub>
              <m:r>
                <m:rPr>
                  <m:sty m:val="p"/>
                </m:rPr>
                <m:t>e</m:t>
              </m:r>
              <m:r>
                <m:rPr>
                  <m:sty m:val="p"/>
                </m:rPr>
                <m:t>x</m:t>
              </m:r>
              <m:r>
                <m:rPr>
                  <m:sty m:val="p"/>
                </m:rPr>
                <m:t>p</m:t>
              </m:r>
            </m:sub>
          </m:sSub>
          <m:r>
            <m:rPr>
              <m:sty m:val="p"/>
            </m:rPr>
            <m:t>(</m:t>
          </m:r>
          <m:sSub>
            <m:e>
              <m:r>
                <m:t>T</m:t>
              </m:r>
            </m:e>
            <m:sub>
              <m:r>
                <m:t>i</m:t>
              </m:r>
            </m:sub>
          </m:sSub>
          <m:r>
            <m:rPr>
              <m:sty m:val="p"/>
            </m:rPr>
            <m:t>)</m:t>
          </m:r>
          <m:r>
            <m:rPr>
              <m:sty m:val="p"/>
            </m:rPr>
            <m:t>−</m:t>
          </m:r>
          <m:sSub>
            <m:e>
              <m:r>
                <m:rPr>
                  <m:sty m:val="p"/>
                </m:rPr>
                <m:t>log</m:t>
              </m:r>
            </m:e>
            <m:sub>
              <m:r>
                <m:t>10</m:t>
              </m:r>
            </m:sub>
          </m:sSub>
          <m:sSub>
            <m:e>
              <m:r>
                <m:t>μ</m:t>
              </m:r>
            </m:e>
            <m:sub>
              <m:r>
                <m:rPr>
                  <m:sty m:val="p"/>
                </m:rPr>
                <m:t>m</m:t>
              </m:r>
              <m:r>
                <m:rPr>
                  <m:sty m:val="p"/>
                </m:rPr>
                <m:t>o</m:t>
              </m:r>
              <m:r>
                <m:rPr>
                  <m:sty m:val="p"/>
                </m:rPr>
                <m:t>d</m:t>
              </m:r>
              <m:r>
                <m:rPr>
                  <m:sty m:val="p"/>
                </m:rPr>
                <m:t>e</m:t>
              </m:r>
              <m:r>
                <m:rPr>
                  <m:sty m:val="p"/>
                </m:rPr>
                <m:t>l</m:t>
              </m:r>
            </m:sub>
          </m:sSub>
          <m:r>
            <m:rPr>
              <m:sty m:val="p"/>
            </m:rPr>
            <m:t>(</m:t>
          </m:r>
          <m:sSub>
            <m:e>
              <m:r>
                <m:t>T</m:t>
              </m:r>
            </m:e>
            <m:sub>
              <m:r>
                <m:t>i</m:t>
              </m:r>
            </m:sub>
          </m:sSub>
          <m:r>
            <m:rPr>
              <m:sty m:val="p"/>
            </m:rPr>
            <m:t>)</m:t>
          </m:r>
        </m:oMath>
      </m:oMathPara>
    </w:p>
    <w:p>
      <w:pPr>
        <w:pStyle w:val="FirstParagraph"/>
      </w:pPr>
      <w:r>
        <w:rPr>
          <w:rFonts w:hint="eastAsia"/>
        </w:rPr>
        <w:t xml:space="preserve">目的関数は</w:t>
      </w:r>
    </w:p>
    <w:p>
      <w:pPr>
        <w:pStyle w:val="BodyText"/>
      </w:pPr>
      <m:oMathPara>
        <m:oMathParaPr>
          <m:jc m:val="center"/>
        </m:oMathParaPr>
        <m:oMath>
          <m:r>
            <m:t>S</m:t>
          </m:r>
          <m:r>
            <m:rPr>
              <m:sty m:val="p"/>
            </m:rPr>
            <m:t>=</m:t>
          </m:r>
          <m:nary>
            <m:naryPr>
              <m:chr m:val="∑"/>
              <m:limLoc m:val="undOvr"/>
              <m:subHide m:val="off"/>
              <m:supHide m:val="on"/>
            </m:naryPr>
            <m:sub>
              <m:r>
                <m:t>i</m:t>
              </m:r>
            </m:sub>
            <m:sup>
              <m:r>
                <m:t>​</m:t>
              </m:r>
            </m:sup>
            <m:e>
              <m:sSubSup>
                <m:e>
                  <m:r>
                    <m:t>r</m:t>
                  </m:r>
                </m:e>
                <m:sub>
                  <m:r>
                    <m:t>i</m:t>
                  </m:r>
                </m:sub>
                <m:sup>
                  <m:r>
                    <m:t>2</m:t>
                  </m:r>
                </m:sup>
              </m:sSubSup>
            </m:e>
          </m:nary>
        </m:oMath>
      </m:oMathPara>
    </w:p>
    <w:p>
      <w:pPr>
        <w:pStyle w:val="FirstParagraph"/>
      </w:pPr>
      <w:r>
        <w:t xml:space="preserve">で、scipy.optimize.minimize </w:t>
      </w:r>
      <w:r>
        <w:rPr>
          <w:rFonts w:hint="eastAsia"/>
        </w:rPr>
        <w:t xml:space="preserve">により最小化されます。</w:t>
      </w:r>
    </w:p>
    <w:p>
      <w:r>
        <w:pict>
          <v:rect style="width:0;height:1.5pt" o:hralign="center" o:hrstd="t" o:hr="t"/>
        </w:pict>
      </w:r>
    </w:p>
    <w:bookmarkEnd w:id="11"/>
    <w:bookmarkStart w:id="12" w:name="パラメータ誤差相関評価"/>
    <w:p>
      <w:pPr>
        <w:pStyle w:val="Heading3"/>
      </w:pPr>
      <w:r>
        <w:rPr>
          <w:rFonts w:hint="eastAsia"/>
        </w:rPr>
        <w:t xml:space="preserve">パラメータ誤差・相関評価</w:t>
      </w:r>
    </w:p>
    <w:p>
      <w:pPr>
        <w:pStyle w:val="FirstParagraph"/>
      </w:pPr>
      <w:r>
        <w:rPr>
          <w:rFonts w:hint="eastAsia"/>
        </w:rPr>
        <w:t xml:space="preserve">最適解近傍で線形化を行い、残差のヤコビアン</w:t>
      </w:r>
      <w:r>
        <w:t xml:space="preserve"> J </w:t>
      </w:r>
      <w:r>
        <w:rPr>
          <w:rFonts w:hint="eastAsia"/>
        </w:rPr>
        <w:t xml:space="preserve">を用いて</w:t>
      </w:r>
    </w:p>
    <w:p>
      <w:pPr>
        <w:pStyle w:val="BodyText"/>
      </w:pPr>
      <m:oMathPara>
        <m:oMathParaPr>
          <m:jc m:val="center"/>
        </m:oMathParaPr>
        <m:oMath>
          <m:r>
            <m:rPr>
              <m:sty m:val="p"/>
            </m:rPr>
            <m:t>C</m:t>
          </m:r>
          <m:r>
            <m:rPr>
              <m:sty m:val="p"/>
            </m:rPr>
            <m:t>o</m:t>
          </m:r>
          <m:r>
            <m:rPr>
              <m:sty m:val="p"/>
            </m:rPr>
            <m:t>v</m:t>
          </m:r>
          <m:r>
            <m:rPr>
              <m:sty m:val="p"/>
            </m:rPr>
            <m:t>(</m:t>
          </m:r>
          <m:r>
            <m:t>θ</m:t>
          </m:r>
          <m:r>
            <m:rPr>
              <m:sty m:val="p"/>
            </m:rPr>
            <m:t>)</m:t>
          </m:r>
          <m:r>
            <m:rPr>
              <m:sty m:val="p"/>
            </m:rPr>
            <m:t>≈</m:t>
          </m:r>
          <m:sSup>
            <m:e>
              <m:r>
                <m:t>s</m:t>
              </m:r>
            </m:e>
            <m:sup>
              <m:r>
                <m:t>2</m:t>
              </m:r>
            </m:sup>
          </m:sSup>
          <m:r>
            <m:rPr>
              <m:sty m:val="p"/>
            </m:rPr>
            <m:t>(</m:t>
          </m:r>
          <m:sSup>
            <m:e>
              <m:r>
                <m:t>J</m:t>
              </m:r>
            </m:e>
            <m:sup>
              <m:r>
                <m:rPr>
                  <m:sty m:val="p"/>
                </m:rPr>
                <m:t>T</m:t>
              </m:r>
            </m:sup>
          </m:sSup>
          <m:r>
            <m:t>J</m:t>
          </m:r>
          <m:sSup>
            <m:e>
              <m:r>
                <m:rPr>
                  <m:sty m:val="p"/>
                </m:rPr>
                <m:t>)</m:t>
              </m:r>
            </m:e>
            <m:sup>
              <m:r>
                <m:rPr>
                  <m:sty m:val="p"/>
                </m:rPr>
                <m:t>−</m:t>
              </m:r>
              <m:r>
                <m:t>1</m:t>
              </m:r>
            </m:sup>
          </m:sSup>
        </m:oMath>
      </m:oMathPara>
    </w:p>
    <w:p>
      <w:pPr>
        <w:pStyle w:val="FirstParagraph"/>
      </w:pPr>
      <w:r>
        <w:rPr>
          <w:rFonts w:hint="eastAsia"/>
        </w:rPr>
        <w:t xml:space="preserve">を評価します。ここで</w:t>
      </w:r>
    </w:p>
    <w:p>
      <w:pPr>
        <w:pStyle w:val="BodyText"/>
      </w:pPr>
      <m:oMathPara>
        <m:oMathParaPr>
          <m:jc m:val="center"/>
        </m:oMathParaPr>
        <m:oMath>
          <m:sSup>
            <m:e>
              <m:r>
                <m:t>s</m:t>
              </m:r>
            </m:e>
            <m:sup>
              <m:r>
                <m:t>2</m:t>
              </m:r>
            </m:sup>
          </m:sSup>
          <m:r>
            <m:rPr>
              <m:sty m:val="p"/>
            </m:rPr>
            <m:t>=</m:t>
          </m:r>
          <m:f>
            <m:fPr>
              <m:type m:val="bar"/>
            </m:fPr>
            <m:num>
              <m:r>
                <m:t>1</m:t>
              </m:r>
            </m:num>
            <m:den>
              <m:r>
                <m:t>N</m:t>
              </m:r>
              <m:r>
                <m:rPr>
                  <m:sty m:val="p"/>
                </m:rPr>
                <m:t>−</m:t>
              </m:r>
              <m:r>
                <m:t>M</m:t>
              </m:r>
            </m:den>
          </m:f>
          <m:nary>
            <m:naryPr>
              <m:chr m:val="∑"/>
              <m:limLoc m:val="undOvr"/>
              <m:subHide m:val="off"/>
              <m:supHide m:val="on"/>
            </m:naryPr>
            <m:sub>
              <m:r>
                <m:t>i</m:t>
              </m:r>
            </m:sub>
            <m:sup>
              <m:r>
                <m:t>​</m:t>
              </m:r>
            </m:sup>
            <m:e>
              <m:sSubSup>
                <m:e>
                  <m:r>
                    <m:t>r</m:t>
                  </m:r>
                </m:e>
                <m:sub>
                  <m:r>
                    <m:t>i</m:t>
                  </m:r>
                </m:sub>
                <m:sup>
                  <m:r>
                    <m:t>2</m:t>
                  </m:r>
                </m:sup>
              </m:sSubSup>
            </m:e>
          </m:nary>
        </m:oMath>
      </m:oMathPara>
    </w:p>
    <w:p>
      <w:pPr>
        <w:pStyle w:val="FirstParagraph"/>
      </w:pPr>
      <w:r>
        <w:t xml:space="preserve">です。</w:t>
      </w:r>
    </w:p>
    <w:p>
      <w:pPr>
        <w:pStyle w:val="Compact"/>
        <w:numPr>
          <w:ilvl w:val="0"/>
          <w:numId w:val="1003"/>
        </w:numPr>
      </w:pPr>
      <w:r>
        <w:rPr>
          <w:rFonts w:hint="eastAsia"/>
        </w:rPr>
        <w:t xml:space="preserve">共分散行列</w:t>
      </w:r>
      <w:r>
        <w:t xml:space="preserve"> Cov</w:t>
      </w:r>
      <w:r>
        <w:br/>
      </w:r>
    </w:p>
    <w:p>
      <w:pPr>
        <w:pStyle w:val="Compact"/>
        <w:numPr>
          <w:ilvl w:val="0"/>
          <w:numId w:val="1003"/>
        </w:numPr>
      </w:pPr>
      <w:r>
        <w:rPr>
          <w:rFonts w:hint="eastAsia"/>
        </w:rPr>
        <w:t xml:space="preserve">相関係数行列</w:t>
      </w:r>
      <w:r>
        <w:t xml:space="preserve"> Corr</w:t>
      </w:r>
      <w:r>
        <w:br/>
      </w:r>
    </w:p>
    <w:p>
      <w:pPr>
        <w:pStyle w:val="Compact"/>
        <w:numPr>
          <w:ilvl w:val="0"/>
          <w:numId w:val="1003"/>
        </w:numPr>
      </w:pPr>
      <w:r>
        <w:rPr>
          <w:rFonts w:hint="eastAsia"/>
        </w:rPr>
        <w:t xml:space="preserve">固有値・固有ベクトル（不確かさの主成分）</w:t>
      </w:r>
      <w:r>
        <w:br/>
      </w:r>
    </w:p>
    <w:p>
      <w:pPr>
        <w:pStyle w:val="Compact"/>
        <w:numPr>
          <w:ilvl w:val="0"/>
          <w:numId w:val="1003"/>
        </w:numPr>
      </w:pPr>
      <w:r>
        <w:t xml:space="preserve">JᵀJ </w:t>
      </w:r>
      <w:r>
        <w:rPr>
          <w:rFonts w:hint="eastAsia"/>
        </w:rPr>
        <w:t xml:space="preserve">の固有値（悪条件方向）</w:t>
      </w:r>
    </w:p>
    <w:p>
      <w:pPr>
        <w:pStyle w:val="FirstParagraph"/>
      </w:pPr>
      <w:r>
        <w:rPr>
          <w:rFonts w:hint="eastAsia"/>
        </w:rPr>
        <w:t xml:space="preserve">をすべて出力します。</w:t>
      </w:r>
    </w:p>
    <w:p>
      <w:r>
        <w:pict>
          <v:rect style="width:0;height:1.5pt" o:hralign="center" o:hrstd="t" o:hr="t"/>
        </w:pict>
      </w:r>
    </w:p>
    <w:bookmarkEnd w:id="12"/>
    <w:bookmarkStart w:id="13" w:name="誤差伝播予測誤差帯"/>
    <w:p>
      <w:pPr>
        <w:pStyle w:val="Heading3"/>
      </w:pPr>
      <w:r>
        <w:rPr>
          <w:rFonts w:hint="eastAsia"/>
        </w:rPr>
        <w:t xml:space="preserve">誤差伝播（予測誤差帯）</w:t>
      </w:r>
    </w:p>
    <w:p>
      <w:pPr>
        <w:pStyle w:val="FirstParagraph"/>
      </w:pPr>
      <w:r>
        <w:rPr>
          <w:rFonts w:hint="eastAsia"/>
        </w:rPr>
        <w:t xml:space="preserve">モデル予測値</w:t>
      </w:r>
      <w:r>
        <w:t xml:space="preserve"> y(T)=log10 μ(T) </w:t>
      </w:r>
      <w:r>
        <w:rPr>
          <w:rFonts w:hint="eastAsia"/>
        </w:rPr>
        <w:t xml:space="preserve">に対して、デルタ法により</w:t>
      </w:r>
    </w:p>
    <w:p>
      <w:pPr>
        <w:pStyle w:val="BodyText"/>
      </w:pPr>
      <m:oMathPara>
        <m:oMathParaPr>
          <m:jc m:val="center"/>
        </m:oMathParaPr>
        <m:oMath>
          <m:r>
            <m:rPr>
              <m:sty m:val="p"/>
            </m:rPr>
            <m:t>V</m:t>
          </m:r>
          <m:r>
            <m:rPr>
              <m:sty m:val="p"/>
            </m:rPr>
            <m:t>a</m:t>
          </m:r>
          <m:r>
            <m:rPr>
              <m:sty m:val="p"/>
            </m:rPr>
            <m:t>r</m:t>
          </m:r>
          <m:r>
            <m:rPr>
              <m:sty m:val="p"/>
            </m:rPr>
            <m:t>[</m:t>
          </m:r>
          <m:r>
            <m:t>y</m:t>
          </m:r>
          <m:r>
            <m:rPr>
              <m:sty m:val="p"/>
            </m:rPr>
            <m:t>(</m:t>
          </m:r>
          <m:r>
            <m:t>T</m:t>
          </m:r>
          <m:r>
            <m:rPr>
              <m:sty m:val="p"/>
            </m:rPr>
            <m:t>)</m:t>
          </m:r>
          <m:r>
            <m:rPr>
              <m:sty m:val="p"/>
            </m:rPr>
            <m:t>]</m:t>
          </m:r>
          <m:r>
            <m:rPr>
              <m:sty m:val="p"/>
            </m:rPr>
            <m:t>=</m:t>
          </m:r>
          <m:r>
            <m:rPr>
              <m:sty m:val="p"/>
            </m:rPr>
            <m:t>∇</m:t>
          </m:r>
          <m:sSup>
            <m:e>
              <m:r>
                <m:t>y</m:t>
              </m:r>
            </m:e>
            <m:sup>
              <m:r>
                <m:rPr>
                  <m:sty m:val="p"/>
                </m:rPr>
                <m:t>T</m:t>
              </m:r>
            </m:sup>
          </m:sSup>
          <m:r>
            <m:t> </m:t>
          </m:r>
          <m:r>
            <m:rPr>
              <m:sty m:val="p"/>
            </m:rPr>
            <m:t>C</m:t>
          </m:r>
          <m:r>
            <m:rPr>
              <m:sty m:val="p"/>
            </m:rPr>
            <m:t>o</m:t>
          </m:r>
          <m:r>
            <m:rPr>
              <m:sty m:val="p"/>
            </m:rPr>
            <m:t>v</m:t>
          </m:r>
          <m:r>
            <m:t> </m:t>
          </m:r>
          <m:r>
            <m:rPr>
              <m:sty m:val="p"/>
            </m:rPr>
            <m:t>∇</m:t>
          </m:r>
          <m:r>
            <m:t>y</m:t>
          </m:r>
        </m:oMath>
      </m:oMathPara>
    </w:p>
    <w:p>
      <w:pPr>
        <w:pStyle w:val="FirstParagraph"/>
      </w:pPr>
      <w:r>
        <w:rPr>
          <w:rFonts w:hint="eastAsia"/>
        </w:rPr>
        <w:t xml:space="preserve">を評価し、±nσ</w:t>
      </w:r>
      <w:r>
        <w:t xml:space="preserve"> </w:t>
      </w:r>
      <w:r>
        <w:rPr>
          <w:rFonts w:hint="eastAsia"/>
        </w:rPr>
        <w:t xml:space="preserve">の誤差帯を計算します。</w:t>
      </w:r>
      <w:r>
        <w:br/>
      </w:r>
      <w:r>
        <w:rPr>
          <w:rFonts w:hint="eastAsia"/>
        </w:rPr>
        <w:t xml:space="preserve">グラフ上では</w:t>
      </w:r>
      <w:r>
        <w:t xml:space="preserve"> </w:t>
      </w:r>
      <w:r>
        <w:rPr>
          <w:rFonts w:hint="eastAsia"/>
          <w:b/>
          <w:bCs/>
        </w:rPr>
        <w:t xml:space="preserve">薄水色の帯</w:t>
      </w:r>
      <w:r>
        <w:rPr>
          <w:rFonts w:hint="eastAsia"/>
        </w:rPr>
        <w:t xml:space="preserve">として表示されます。</w:t>
      </w:r>
    </w:p>
    <w:p>
      <w:r>
        <w:pict>
          <v:rect style="width:0;height:1.5pt" o:hralign="center" o:hrstd="t" o:hr="t"/>
        </w:pict>
      </w:r>
    </w:p>
    <w:bookmarkEnd w:id="13"/>
    <w:bookmarkStart w:id="14" w:name="固定パラメータ提案ロジック"/>
    <w:p>
      <w:pPr>
        <w:pStyle w:val="Heading3"/>
      </w:pPr>
      <w:r>
        <w:rPr>
          <w:rFonts w:hint="eastAsia"/>
        </w:rPr>
        <w:t xml:space="preserve">固定パラメータ提案ロジック</w:t>
      </w:r>
    </w:p>
    <w:p>
      <w:pPr>
        <w:pStyle w:val="FirstParagraph"/>
      </w:pPr>
      <w:r>
        <w:rPr>
          <w:rFonts w:hint="eastAsia"/>
        </w:rPr>
        <w:t xml:space="preserve">以下を総合したヒューリスティックにより候補を提示します。</w:t>
      </w:r>
    </w:p>
    <w:p>
      <w:pPr>
        <w:pStyle w:val="Compact"/>
        <w:numPr>
          <w:ilvl w:val="0"/>
          <w:numId w:val="1004"/>
        </w:numPr>
      </w:pPr>
      <w:r>
        <w:rPr>
          <w:rFonts w:hint="eastAsia"/>
        </w:rPr>
        <w:t xml:space="preserve">相対誤差が大きい（stderr</w:t>
      </w:r>
      <w:r>
        <w:t xml:space="preserve"> / </w:t>
      </w:r>
      <w:r>
        <w:rPr>
          <w:rFonts w:hint="eastAsia"/>
        </w:rPr>
        <w:t xml:space="preserve">|value|）</w:t>
      </w:r>
    </w:p>
    <w:p>
      <w:pPr>
        <w:pStyle w:val="Compact"/>
        <w:numPr>
          <w:ilvl w:val="0"/>
          <w:numId w:val="1004"/>
        </w:numPr>
      </w:pPr>
      <w:r>
        <w:rPr>
          <w:rFonts w:hint="eastAsia"/>
        </w:rPr>
        <w:t xml:space="preserve">他パラメータとの強い相関（|ρ|</w:t>
      </w:r>
      <w:r>
        <w:t xml:space="preserve"> ≥ </w:t>
      </w:r>
      <w:r>
        <w:rPr>
          <w:rFonts w:hint="eastAsia"/>
        </w:rPr>
        <w:t xml:space="preserve">0.95）</w:t>
      </w:r>
    </w:p>
    <w:p>
      <w:pPr>
        <w:pStyle w:val="Compact"/>
        <w:numPr>
          <w:ilvl w:val="0"/>
          <w:numId w:val="1004"/>
        </w:numPr>
      </w:pPr>
      <w:r>
        <w:rPr>
          <w:rFonts w:hint="eastAsia"/>
        </w:rPr>
        <w:t xml:space="preserve">共分散最大固有値方向（最も不確かな主成分）への寄与が大きい</w:t>
      </w:r>
    </w:p>
    <w:p>
      <w:pPr>
        <w:pStyle w:val="FirstParagraph"/>
      </w:pPr>
      <w:r>
        <w:rPr>
          <w:rFonts w:hint="eastAsia"/>
        </w:rPr>
        <w:t xml:space="preserve">これは「物理的に正しい固定」を保証するものではなく、</w:t>
      </w:r>
      <w:r>
        <w:br/>
      </w:r>
      <w:r>
        <w:rPr>
          <w:rFonts w:hint="eastAsia"/>
          <w:b/>
          <w:bCs/>
        </w:rPr>
        <w:t xml:space="preserve">数値的に決まりにくい方向</w:t>
      </w:r>
      <w:r>
        <w:rPr>
          <w:rFonts w:hint="eastAsia"/>
        </w:rPr>
        <w:t xml:space="preserve">を示す診断結果です。</w:t>
      </w:r>
    </w:p>
    <w:p>
      <w:r>
        <w:pict>
          <v:rect style="width:0;height:1.5pt" o:hralign="center" o:hrstd="t" o:hr="t"/>
        </w:pict>
      </w:r>
    </w:p>
    <w:bookmarkEnd w:id="14"/>
    <w:bookmarkEnd w:id="15"/>
    <w:bookmarkStart w:id="18" w:name="使い方-usage"/>
    <w:p>
      <w:pPr>
        <w:pStyle w:val="Heading2"/>
      </w:pPr>
      <w:r>
        <w:rPr>
          <w:rFonts w:hint="eastAsia"/>
        </w:rPr>
        <w:t xml:space="preserve">使い方</w:t>
      </w:r>
      <w:r>
        <w:t xml:space="preserve"> (usage)</w:t>
      </w:r>
    </w:p>
    <w:bookmarkStart w:id="16" w:name="基本形式"/>
    <w:p>
      <w:pPr>
        <w:pStyle w:val="Heading3"/>
      </w:pPr>
      <w:r>
        <w:rPr>
          <w:rFonts w:hint="eastAsia"/>
        </w:rPr>
        <w:t xml:space="preserve">基本形式</w:t>
      </w:r>
    </w:p>
    <w:p>
      <w:pPr>
        <w:pStyle w:val="FirstParagraph"/>
      </w:pPr>
      <w:r>
        <w:t xml:space="preserve">python mu_fit.py –mode fit –input データファイル.xlsx</w:t>
      </w:r>
    </w:p>
    <w:bookmarkEnd w:id="16"/>
    <w:bookmarkStart w:id="17" w:name="主なオプション"/>
    <w:p>
      <w:pPr>
        <w:pStyle w:val="Heading3"/>
      </w:pPr>
      <w:r>
        <w:rPr>
          <w:rFonts w:hint="eastAsia"/>
        </w:rPr>
        <w:t xml:space="preserve">主なオプション</w:t>
      </w:r>
    </w:p>
    <w:p>
      <w:pPr>
        <w:numPr>
          <w:ilvl w:val="0"/>
          <w:numId w:val="1005"/>
        </w:numPr>
      </w:pPr>
      <w:r>
        <w:t xml:space="preserve">–mode</w:t>
      </w:r>
      <w:r>
        <w:br/>
      </w:r>
      <w:r>
        <w:t xml:space="preserve">read : </w:t>
      </w:r>
      <w:r>
        <w:rPr>
          <w:rFonts w:hint="eastAsia"/>
        </w:rPr>
        <w:t xml:space="preserve">データ確認</w:t>
      </w:r>
      <w:r>
        <w:br/>
      </w:r>
      <w:r>
        <w:t xml:space="preserve">llsq : </w:t>
      </w:r>
      <w:r>
        <w:rPr>
          <w:rFonts w:hint="eastAsia"/>
        </w:rPr>
        <w:t xml:space="preserve">線形最小二乗による初期値推定</w:t>
      </w:r>
      <w:r>
        <w:br/>
      </w:r>
      <w:r>
        <w:t xml:space="preserve">fit : </w:t>
      </w:r>
      <w:r>
        <w:rPr>
          <w:rFonts w:hint="eastAsia"/>
        </w:rPr>
        <w:t xml:space="preserve">非線形フィッティング＋誤差解析</w:t>
      </w:r>
      <w:r>
        <w:br/>
      </w:r>
      <w:r>
        <w:t xml:space="preserve">weight : </w:t>
      </w:r>
      <w:r>
        <w:rPr>
          <w:rFonts w:hint="eastAsia"/>
        </w:rPr>
        <w:t xml:space="preserve">散乱機構寄与率の可視化</w:t>
      </w:r>
    </w:p>
    <w:p>
      <w:pPr>
        <w:numPr>
          <w:ilvl w:val="0"/>
          <w:numId w:val="1005"/>
        </w:numPr>
      </w:pPr>
      <w:r>
        <w:t xml:space="preserve">–fix</w:t>
      </w:r>
      <w:r>
        <w:br/>
      </w:r>
      <w:r>
        <w:rPr>
          <w:rFonts w:hint="eastAsia"/>
        </w:rPr>
        <w:t xml:space="preserve">固定するパラメータ名をカンマ区切りで指定</w:t>
      </w:r>
      <w:r>
        <w:br/>
      </w:r>
      <w:r>
        <w:rPr>
          <w:rFonts w:hint="eastAsia"/>
        </w:rPr>
        <w:t xml:space="preserve">例:</w:t>
      </w:r>
      <w:r>
        <w:t xml:space="preserve"> a2,VB</w:t>
      </w:r>
    </w:p>
    <w:p>
      <w:pPr>
        <w:numPr>
          <w:ilvl w:val="0"/>
          <w:numId w:val="1005"/>
        </w:numPr>
      </w:pPr>
      <w:r>
        <w:t xml:space="preserve">–Tfitmin, –Tfitmax</w:t>
      </w:r>
      <w:r>
        <w:br/>
      </w:r>
      <w:r>
        <w:rPr>
          <w:rFonts w:hint="eastAsia"/>
        </w:rPr>
        <w:t xml:space="preserve">フィッティングに使用する温度範囲</w:t>
      </w:r>
      <w:r>
        <w:t xml:space="preserve"> [K]</w:t>
      </w:r>
      <w:r>
        <w:br/>
      </w:r>
      <w:r>
        <w:t xml:space="preserve">デフォルト: -1e100, </w:t>
      </w:r>
      <w:r>
        <w:rPr>
          <w:rFonts w:hint="eastAsia"/>
        </w:rPr>
        <w:t xml:space="preserve">+1e100（全範囲）</w:t>
      </w:r>
    </w:p>
    <w:p>
      <w:pPr>
        <w:numPr>
          <w:ilvl w:val="0"/>
          <w:numId w:val="1005"/>
        </w:numPr>
      </w:pPr>
      <w:r>
        <w:t xml:space="preserve">–band_sigma</w:t>
      </w:r>
      <w:r>
        <w:br/>
      </w:r>
      <w:r>
        <w:rPr>
          <w:rFonts w:hint="eastAsia"/>
        </w:rPr>
        <w:t xml:space="preserve">誤差帯の幅（nσ,</w:t>
      </w:r>
      <w:r>
        <w:t xml:space="preserve"> デフォルト </w:t>
      </w:r>
      <w:r>
        <w:rPr>
          <w:rFonts w:hint="eastAsia"/>
        </w:rPr>
        <w:t xml:space="preserve">1.0）</w:t>
      </w:r>
    </w:p>
    <w:p>
      <w:pPr>
        <w:numPr>
          <w:ilvl w:val="0"/>
          <w:numId w:val="1005"/>
        </w:numPr>
      </w:pPr>
      <w:r>
        <w:t xml:space="preserve">–eop</w:t>
      </w:r>
      <w:r>
        <w:br/>
      </w:r>
      <w:r>
        <w:rPr>
          <w:rFonts w:hint="eastAsia"/>
        </w:rPr>
        <w:t xml:space="preserve">光学フォノンエネルギー</w:t>
      </w:r>
      <w:r>
        <w:t xml:space="preserve"> [eV]</w:t>
      </w:r>
    </w:p>
    <w:p>
      <w:r>
        <w:pict>
          <v:rect style="width:0;height:1.5pt" o:hralign="center" o:hrstd="t" o:hr="t"/>
        </w:pict>
      </w:r>
    </w:p>
    <w:bookmarkEnd w:id="17"/>
    <w:bookmarkEnd w:id="18"/>
    <w:bookmarkStart w:id="22" w:name="使用例"/>
    <w:p>
      <w:pPr>
        <w:pStyle w:val="Heading2"/>
      </w:pPr>
      <w:r>
        <w:rPr>
          <w:rFonts w:hint="eastAsia"/>
        </w:rPr>
        <w:t xml:space="preserve">使用例</w:t>
      </w:r>
    </w:p>
    <w:bookmarkStart w:id="19" w:name="全温度範囲でフィット"/>
    <w:p>
      <w:pPr>
        <w:pStyle w:val="Heading3"/>
      </w:pPr>
      <w:r>
        <w:t xml:space="preserve">1. </w:t>
      </w:r>
      <w:r>
        <w:rPr>
          <w:rFonts w:hint="eastAsia"/>
        </w:rPr>
        <w:t xml:space="preserve">全温度範囲でフィット</w:t>
      </w:r>
    </w:p>
    <w:p>
      <w:pPr>
        <w:pStyle w:val="FirstParagraph"/>
      </w:pPr>
      <w:r>
        <w:t xml:space="preserve">python mu_fit.py –mode fit –input Hall-T1.xlsx –eop 0.045</w:t>
      </w:r>
    </w:p>
    <w:bookmarkEnd w:id="19"/>
    <w:bookmarkStart w:id="20" w:name="k-のみでフィット"/>
    <w:p>
      <w:pPr>
        <w:pStyle w:val="Heading3"/>
      </w:pPr>
      <w:r>
        <w:t xml:space="preserve">2. 150–450 K のみでフィット</w:t>
      </w:r>
    </w:p>
    <w:p>
      <w:pPr>
        <w:pStyle w:val="FirstParagraph"/>
      </w:pPr>
      <w:r>
        <w:t xml:space="preserve">python mu_fit.py –mode fit –input Hall-T1.xlsx –Tfitmin 150 –Tfitmax 450</w:t>
      </w:r>
    </w:p>
    <w:bookmarkEnd w:id="20"/>
    <w:bookmarkStart w:id="21" w:name="a2-と-vb-を固定してフィット"/>
    <w:p>
      <w:pPr>
        <w:pStyle w:val="Heading3"/>
      </w:pPr>
      <w:r>
        <w:t xml:space="preserve">3. a2 と VB </w:t>
      </w:r>
      <w:r>
        <w:rPr>
          <w:rFonts w:hint="eastAsia"/>
        </w:rPr>
        <w:t xml:space="preserve">を固定してフィット</w:t>
      </w:r>
    </w:p>
    <w:p>
      <w:pPr>
        <w:pStyle w:val="FirstParagraph"/>
      </w:pPr>
      <w:r>
        <w:t xml:space="preserve">python mu_fit.py –mode fit –input Hall-T1.xlsx –fix a2,VB</w:t>
      </w:r>
    </w:p>
    <w:p>
      <w:r>
        <w:pict>
          <v:rect style="width:0;height:1.5pt" o:hralign="center" o:hrstd="t" o:hr="t"/>
        </w:pict>
      </w:r>
    </w:p>
    <w:bookmarkEnd w:id="21"/>
    <w:bookmarkEnd w:id="22"/>
    <w:bookmarkStart w:id="23" w:name="出力ファイル一覧"/>
    <w:p>
      <w:pPr>
        <w:pStyle w:val="Heading2"/>
      </w:pPr>
      <w:r>
        <w:rPr>
          <w:rFonts w:hint="eastAsia"/>
        </w:rPr>
        <w:t xml:space="preserve">出力ファイル一覧</w:t>
      </w:r>
    </w:p>
    <w:p>
      <w:pPr>
        <w:numPr>
          <w:ilvl w:val="0"/>
          <w:numId w:val="1006"/>
        </w:numPr>
      </w:pPr>
      <w:r>
        <w:t xml:space="preserve">fit_params.json</w:t>
      </w:r>
      <w:r>
        <w:br/>
      </w:r>
      <w:r>
        <w:rPr>
          <w:rFonts w:hint="eastAsia"/>
        </w:rPr>
        <w:t xml:space="preserve">最適化されたパラメータ</w:t>
      </w:r>
    </w:p>
    <w:p>
      <w:pPr>
        <w:numPr>
          <w:ilvl w:val="0"/>
          <w:numId w:val="1006"/>
        </w:numPr>
      </w:pPr>
      <w:r>
        <w:t xml:space="preserve">fit_params_with_errors.json</w:t>
      </w:r>
      <w:r>
        <w:br/>
      </w:r>
      <w:r>
        <w:rPr>
          <w:rFonts w:hint="eastAsia"/>
        </w:rPr>
        <w:t xml:space="preserve">パラメータ値と標準誤差</w:t>
      </w:r>
    </w:p>
    <w:p>
      <w:pPr>
        <w:numPr>
          <w:ilvl w:val="0"/>
          <w:numId w:val="1006"/>
        </w:numPr>
      </w:pPr>
      <w:r>
        <w:t xml:space="preserve">fit_diagnostics_opt.json</w:t>
      </w:r>
      <w:r>
        <w:br/>
      </w:r>
      <w:r>
        <w:rPr>
          <w:rFonts w:hint="eastAsia"/>
        </w:rPr>
        <w:t xml:space="preserve">共分散行列・相関係数・固有値・条件数</w:t>
      </w:r>
    </w:p>
    <w:p>
      <w:pPr>
        <w:numPr>
          <w:ilvl w:val="0"/>
          <w:numId w:val="1006"/>
        </w:numPr>
      </w:pPr>
      <w:r>
        <w:t xml:space="preserve">fit_fix_suggestions.json</w:t>
      </w:r>
      <w:r>
        <w:br/>
      </w:r>
      <w:r>
        <w:rPr>
          <w:rFonts w:hint="eastAsia"/>
        </w:rPr>
        <w:t xml:space="preserve">固定候補パラメータの提案（理由付き）</w:t>
      </w:r>
    </w:p>
    <w:p>
      <w:pPr>
        <w:numPr>
          <w:ilvl w:val="0"/>
          <w:numId w:val="1006"/>
        </w:numPr>
      </w:pPr>
      <w:r>
        <w:t xml:space="preserve">mu_vs_T_fit.png</w:t>
      </w:r>
      <w:r>
        <w:br/>
      </w:r>
      <w:r>
        <w:rPr>
          <w:rFonts w:hint="eastAsia"/>
        </w:rPr>
        <w:t xml:space="preserve">フィット結果＋誤差帯プロット</w:t>
      </w:r>
    </w:p>
    <w:p>
      <w:r>
        <w:pict>
          <v:rect style="width:0;height:1.5pt" o:hralign="center" o:hrstd="t" o:hr="t"/>
        </w:pict>
      </w:r>
    </w:p>
    <w:bookmarkEnd w:id="23"/>
    <w:bookmarkStart w:id="24" w:name="注意事項"/>
    <w:p>
      <w:pPr>
        <w:pStyle w:val="Heading2"/>
      </w:pPr>
      <w:r>
        <w:rPr>
          <w:rFonts w:hint="eastAsia"/>
        </w:rPr>
        <w:t xml:space="preserve">注意事項</w:t>
      </w:r>
    </w:p>
    <w:p>
      <w:pPr>
        <w:pStyle w:val="Compact"/>
        <w:numPr>
          <w:ilvl w:val="0"/>
          <w:numId w:val="1007"/>
        </w:numPr>
      </w:pPr>
      <w:r>
        <w:rPr>
          <w:rFonts w:hint="eastAsia"/>
        </w:rPr>
        <w:t xml:space="preserve">共分散解析は局所線形近似に基づきます。</w:t>
      </w:r>
    </w:p>
    <w:p>
      <w:pPr>
        <w:pStyle w:val="Compact"/>
        <w:numPr>
          <w:ilvl w:val="0"/>
          <w:numId w:val="1007"/>
        </w:numPr>
      </w:pPr>
      <w:r>
        <w:rPr>
          <w:rFonts w:hint="eastAsia"/>
        </w:rPr>
        <w:t xml:space="preserve">強い非線形性やデータ不足の場合、誤差や相関は不安定になります。</w:t>
      </w:r>
    </w:p>
    <w:p>
      <w:pPr>
        <w:pStyle w:val="Compact"/>
        <w:numPr>
          <w:ilvl w:val="0"/>
          <w:numId w:val="1007"/>
        </w:numPr>
      </w:pPr>
      <w:r>
        <w:rPr>
          <w:rFonts w:hint="eastAsia"/>
        </w:rPr>
        <w:t xml:space="preserve">固定パラメータの最終判断は、文献値・独立測定・物理的妥当性を必ず考慮してください。</w:t>
      </w:r>
    </w:p>
    <w:p>
      <w:pPr>
        <w:pStyle w:val="FirstParagraph"/>
      </w:pPr>
      <w:r>
        <w:rPr>
          <w:rFonts w:hint="eastAsia"/>
        </w:rPr>
        <w:t xml:space="preserve">本プログラムは「よくフィットするか」だけでなく</w:t>
      </w:r>
      <w:r>
        <w:br/>
      </w:r>
      <w:r>
        <w:rPr>
          <w:rFonts w:hint="eastAsia"/>
          <w:b/>
          <w:bCs/>
        </w:rPr>
        <w:t xml:space="preserve">「どこまで信じてよいか」</w:t>
      </w:r>
      <w:r>
        <w:rPr>
          <w:rFonts w:hint="eastAsia"/>
        </w:rPr>
        <w:t xml:space="preserve">を判断するための解析ツールです。</w:t>
      </w:r>
    </w:p>
    <w:bookmarkEnd w:id="24"/>
    <w:bookmarkEnd w:id="25"/>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1"/>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2026-02-10T06:37:49Z</dcterms:created>
  <dcterms:modified xsi:type="dcterms:W3CDTF">2026-02-10T06:37:49Z</dcterms:modified>
</cp:coreProperties>
</file>

<file path=docProps/custom.xml><?xml version="1.0" encoding="utf-8"?>
<Properties xmlns="http://schemas.openxmlformats.org/officeDocument/2006/custom-properties" xmlns:vt="http://schemas.openxmlformats.org/officeDocument/2006/docPropsVTypes"/>
</file>