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bookmarkStart w:id="25" w:name="材料科学特別講義逆格子と共変反変テンソル"/>
    <w:p>
      <w:pPr>
        <w:pStyle w:val="Heading1"/>
      </w:pPr>
      <w:r>
        <w:rPr>
          <w:rFonts w:hint="eastAsia"/>
        </w:rPr>
        <w:t xml:space="preserve">材料科学特別講義：逆格子と共変・反変テンソル</w:t>
      </w:r>
    </w:p>
    <w:bookmarkStart w:id="9" w:name="序論"/>
    <w:p>
      <w:pPr>
        <w:pStyle w:val="Heading2"/>
      </w:pPr>
      <w:r>
        <w:rPr>
          <w:rFonts w:hint="eastAsia"/>
        </w:rPr>
        <w:t xml:space="preserve">序論</w:t>
      </w:r>
    </w:p>
    <w:p>
      <w:pPr>
        <w:pStyle w:val="FirstParagraph"/>
      </w:pPr>
      <w:r>
        <w:rPr>
          <w:rFonts w:hint="eastAsia"/>
        </w:rPr>
        <w:t xml:space="preserve">本講義では、材料科学において極めて重要な概念である「逆格子（Reciprocal</w:t>
      </w:r>
      <w:r>
        <w:t xml:space="preserve"> </w:t>
      </w:r>
      <w:r>
        <w:rPr>
          <w:rFonts w:hint="eastAsia"/>
        </w:rPr>
        <w:t xml:space="preserve">Lattice）」と「共変（Covariant）・反変（Contravariant）テンソル」について学びます。これらの概念は、X線回折や電子バンド理論といった固体物理学の根幹をなす理論を理解する上で不可欠です。音声認識による文字起こしテキストとスライドの情報を統合し、誤りを修正しながら、物理理論として論理的かつ分かりやすく解説していきます。数学的な厳密性よりも、物理現象との関連性を重視し、直感的な理解を深めることを目指します。</w:t>
      </w:r>
    </w:p>
    <w:bookmarkEnd w:id="9"/>
    <w:bookmarkStart w:id="14" w:name="逆格子"/>
    <w:p>
      <w:pPr>
        <w:pStyle w:val="Heading2"/>
      </w:pPr>
      <w:r>
        <w:t xml:space="preserve">1. </w:t>
      </w:r>
      <w:r>
        <w:rPr>
          <w:rFonts w:hint="eastAsia"/>
        </w:rPr>
        <w:t xml:space="preserve">逆格子</w:t>
      </w:r>
    </w:p>
    <w:bookmarkStart w:id="10" w:name="逆格子の定義と物理的意義"/>
    <w:p>
      <w:pPr>
        <w:pStyle w:val="Heading3"/>
      </w:pPr>
      <w:r>
        <w:t xml:space="preserve">1.1 </w:t>
      </w:r>
      <w:r>
        <w:rPr>
          <w:rFonts w:hint="eastAsia"/>
        </w:rPr>
        <w:t xml:space="preserve">逆格子の定義と物理的意義</w:t>
      </w:r>
    </w:p>
    <w:p>
      <w:pPr>
        <w:pStyle w:val="FirstParagraph"/>
      </w:pPr>
      <w:r>
        <w:rPr>
          <w:rFonts w:hint="eastAsia"/>
        </w:rPr>
        <w:t xml:space="preserve">逆格子とは、実空間に存在する結晶格子（実格子）に対応する、フーリエ空間（波数空間、あるいは逆空間）における仮想的な格子です。この概念は、主に以下のような現象の理解に役立ちます。</w:t>
      </w:r>
    </w:p>
    <w:p>
      <w:pPr>
        <w:pStyle w:val="Compact"/>
        <w:numPr>
          <w:ilvl w:val="0"/>
          <w:numId w:val="1001"/>
        </w:numPr>
      </w:pPr>
      <w:r>
        <w:rPr>
          <w:rFonts w:hint="eastAsia"/>
          <w:b/>
          <w:bCs/>
        </w:rPr>
        <w:t xml:space="preserve">回折現象:</w:t>
      </w:r>
      <w:r>
        <w:t xml:space="preserve"> </w:t>
      </w:r>
      <w:r>
        <w:rPr>
          <w:rFonts w:hint="eastAsia"/>
        </w:rPr>
        <w:t xml:space="preserve">X線、中性子線、電子線などの波が結晶に衝突した際に生じる回折現象は、逆格子点において強く起こります。これは、波の干渉条件が逆格子ベクトルと密接に関連しているためです。</w:t>
      </w:r>
    </w:p>
    <w:p>
      <w:pPr>
        <w:pStyle w:val="Compact"/>
        <w:numPr>
          <w:ilvl w:val="0"/>
          <w:numId w:val="1001"/>
        </w:numPr>
      </w:pPr>
      <w:r>
        <w:rPr>
          <w:rFonts w:hint="eastAsia"/>
          <w:b/>
          <w:bCs/>
        </w:rPr>
        <w:t xml:space="preserve">電子バンド理論:</w:t>
      </w:r>
      <w:r>
        <w:t xml:space="preserve"> </w:t>
      </w:r>
      <w:r>
        <w:rPr>
          <w:rFonts w:hint="eastAsia"/>
        </w:rPr>
        <w:t xml:space="preserve">結晶中の電子のエネルギー状態を記述するバンド理論は、逆格子空間におけるブリルアンゾーン（Brillouin</w:t>
      </w:r>
      <w:r>
        <w:t xml:space="preserve"> </w:t>
      </w:r>
      <w:r>
        <w:rPr>
          <w:rFonts w:hint="eastAsia"/>
        </w:rPr>
        <w:t xml:space="preserve">Zone）という概念を通じて展開されます。電子の運動もまた、結晶の周期的なポテンシャルによって回折される波として扱われます。</w:t>
      </w:r>
    </w:p>
    <w:p>
      <w:pPr>
        <w:pStyle w:val="FirstParagraph"/>
      </w:pPr>
      <w:r>
        <w:rPr>
          <w:rFonts w:hint="eastAsia"/>
        </w:rPr>
        <w:t xml:space="preserve">このように、波の干渉が重要な役割を果たす領域において、逆格子は非常に便利な道具となります。</w:t>
      </w:r>
    </w:p>
    <w:p>
      <w:pPr>
        <w:pStyle w:val="BodyText"/>
      </w:pPr>
      <w:r>
        <w:rPr>
          <w:rFonts w:hint="eastAsia"/>
          <w:b/>
          <w:bCs/>
        </w:rPr>
        <w:t xml:space="preserve">フーリエ変換と散乱理論</w:t>
      </w:r>
    </w:p>
    <w:p>
      <w:pPr>
        <w:pStyle w:val="BodyText"/>
      </w:pPr>
      <w:r>
        <w:rPr>
          <w:rFonts w:hint="eastAsia"/>
        </w:rPr>
        <w:t xml:space="preserve">散乱理論において、散乱波の振幅</w:t>
      </w:r>
      <w:r>
        <w:t xml:space="preserve"> </w:t>
      </w:r>
      <m:oMath>
        <m:r>
          <m:t>S</m:t>
        </m:r>
        <m:r>
          <m:rPr>
            <m:sty m:val="p"/>
          </m:rPr>
          <m:t>(</m:t>
        </m:r>
        <m:r>
          <m:rPr>
            <m:sty m:val="b"/>
          </m:rPr>
          <m:t>k</m:t>
        </m:r>
        <m:r>
          <m:rPr>
            <m:sty m:val="p"/>
          </m:rPr>
          <m:t>)</m:t>
        </m:r>
      </m:oMath>
      <w:r>
        <w:t xml:space="preserve"> </w:t>
      </w:r>
      <w:r>
        <w:rPr>
          <w:rFonts w:hint="eastAsia"/>
        </w:rPr>
        <w:t xml:space="preserve">は、物質の電子密度分布</w:t>
      </w:r>
      <w:r>
        <w:t xml:space="preserve"> </w:t>
      </w:r>
      <m:oMath>
        <m:r>
          <m:t>ρ</m:t>
        </m:r>
        <m:r>
          <m:rPr>
            <m:sty m:val="p"/>
          </m:rPr>
          <m:t>(</m:t>
        </m:r>
        <m:r>
          <m:rPr>
            <m:sty m:val="b"/>
          </m:rPr>
          <m:t>r</m:t>
        </m:r>
        <m:r>
          <m:rPr>
            <m:sty m:val="p"/>
          </m:rPr>
          <m:t>)</m:t>
        </m:r>
      </m:oMath>
      <w:r>
        <w:t xml:space="preserve"> </w:t>
      </w:r>
      <w:r>
        <w:rPr>
          <w:rFonts w:hint="eastAsia"/>
        </w:rPr>
        <w:t xml:space="preserve">のフーリエ変換として与えられます。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rPr>
          <w:rFonts w:hint="eastAsia"/>
        </w:rPr>
        <w:t xml:space="preserve">結晶のように周期的な構造を持つ場合、電子密度分布</w:t>
      </w:r>
      <w:r>
        <w:t xml:space="preserve"> </w:t>
      </w:r>
      <m:oMath>
        <m:r>
          <m:t>ρ</m:t>
        </m:r>
        <m:r>
          <m:rPr>
            <m:sty m:val="p"/>
          </m:rPr>
          <m:t>(</m:t>
        </m:r>
        <m:r>
          <m:rPr>
            <m:sty m:val="b"/>
          </m:rPr>
          <m:t>r</m:t>
        </m:r>
        <m:r>
          <m:rPr>
            <m:sty m:val="p"/>
          </m:rPr>
          <m:t>)</m:t>
        </m:r>
      </m:oMath>
      <w:r>
        <w:t xml:space="preserve"> </w:t>
      </w:r>
      <w:r>
        <w:rPr>
          <w:rFonts w:hint="eastAsia"/>
        </w:rPr>
        <w:t xml:space="preserve">は単位胞内の電子密度分布</w:t>
      </w:r>
      <w:r>
        <w:t xml:space="preserve"> </w:t>
      </w:r>
      <m:oMath>
        <m:sSub>
          <m:e>
            <m:r>
              <m:t>ρ</m:t>
            </m:r>
          </m:e>
          <m:sub>
            <m:r>
              <m:rPr>
                <m:nor/>
                <m:sty m:val="p"/>
              </m:rPr>
              <m:t>u.c.</m:t>
            </m:r>
          </m:sub>
        </m:sSub>
        <m:r>
          <m:rPr>
            <m:sty m:val="p"/>
          </m:rPr>
          <m:t>(</m:t>
        </m:r>
        <m:r>
          <m:rPr>
            <m:sty m:val="b"/>
          </m:rPr>
          <m:t>r</m:t>
        </m:r>
        <m:r>
          <m:rPr>
            <m:sty m:val="p"/>
          </m:rPr>
          <m:t>)</m:t>
        </m:r>
      </m:oMath>
      <w:r>
        <w:t xml:space="preserve"> </w:t>
      </w:r>
      <w:r>
        <w:rPr>
          <w:rFonts w:hint="eastAsia"/>
        </w:rPr>
        <w:t xml:space="preserve">と格子ベクトルの和で表現できます。このとき、散乱振幅は以下のようになります。</w:t>
      </w:r>
    </w:p>
    <w:p>
      <w:pPr>
        <w:pStyle w:val="BodyText"/>
      </w:pPr>
      <m:oMathPara>
        <m:oMathParaPr>
          <m:jc m:val="center"/>
        </m:oMathParaPr>
        <m:oMath>
          <m:r>
            <m:t>S</m:t>
          </m:r>
          <m:r>
            <m:rPr>
              <m:sty m:val="p"/>
            </m:rPr>
            <m:t>(</m:t>
          </m:r>
          <m:r>
            <m:rPr>
              <m:sty m:val="b"/>
            </m:rPr>
            <m:t>k</m:t>
          </m:r>
          <m:r>
            <m:rPr>
              <m:sty m:val="p"/>
            </m:rPr>
            <m:t>)</m:t>
          </m:r>
          <m:r>
            <m:rPr>
              <m:sty m:val="p"/>
            </m:rPr>
            <m:t>=</m:t>
          </m:r>
          <m:nary>
            <m:naryPr>
              <m:chr m:val="∑"/>
              <m:limLoc m:val="undOvr"/>
              <m:subHide m:val="off"/>
              <m:supHide m:val="on"/>
            </m:naryPr>
            <m:sub>
              <m:sSub>
                <m:e>
                  <m:r>
                    <m:t>n</m:t>
                  </m:r>
                </m:e>
                <m:sub>
                  <m:r>
                    <m:t>1</m:t>
                  </m:r>
                </m:sub>
              </m:sSub>
              <m:r>
                <m:rPr>
                  <m:sty m:val="p"/>
                </m:rPr>
                <m:t>,</m:t>
              </m:r>
              <m:sSub>
                <m:e>
                  <m:r>
                    <m:t>n</m:t>
                  </m:r>
                </m:e>
                <m:sub>
                  <m:r>
                    <m:t>2</m:t>
                  </m:r>
                </m:sub>
              </m:sSub>
              <m:r>
                <m:rPr>
                  <m:sty m:val="p"/>
                </m:rPr>
                <m:t>,</m:t>
              </m:r>
              <m:sSub>
                <m:e>
                  <m:r>
                    <m:t>n</m:t>
                  </m:r>
                </m:e>
                <m:sub>
                  <m:r>
                    <m:t>3</m:t>
                  </m:r>
                </m:sub>
              </m:sSub>
            </m:sub>
            <m:sup>
              <m:r>
                <m:t>​</m:t>
              </m:r>
            </m:sup>
            <m:e>
              <m:nary>
                <m:naryPr>
                  <m:chr m:val="∫"/>
                  <m:limLoc m:val="subSup"/>
                  <m:subHide m:val="off"/>
                  <m:supHide m:val="on"/>
                </m:naryPr>
                <m:sub>
                  <m:r>
                    <m:rPr>
                      <m:nor/>
                      <m:sty m:val="p"/>
                    </m:rPr>
                    <m:t>u.c.</m:t>
                  </m:r>
                </m:sub>
                <m:sup>
                  <m:r>
                    <m:t>​</m:t>
                  </m:r>
                </m:sup>
                <m:e>
                  <m:sSub>
                    <m:e>
                      <m:r>
                        <m:t>ρ</m:t>
                      </m:r>
                    </m:e>
                    <m:sub>
                      <m:r>
                        <m:rPr>
                          <m:nor/>
                          <m:sty m:val="p"/>
                        </m:rPr>
                        <m:t>u.c.</m:t>
                      </m:r>
                    </m:sub>
                  </m:sSub>
                </m:e>
              </m:nary>
            </m:e>
          </m:nary>
          <m:r>
            <m:rPr>
              <m:sty m:val="p"/>
            </m:rPr>
            <m:t>(</m:t>
          </m:r>
          <m:r>
            <m:rPr>
              <m:sty m:val="b"/>
            </m:rPr>
            <m:t>r</m:t>
          </m:r>
          <m:r>
            <m:rPr>
              <m:sty m:val="p"/>
            </m:rPr>
            <m:t>−</m:t>
          </m:r>
          <m:r>
            <m:rPr>
              <m:sty m:val="p"/>
            </m:rPr>
            <m:t>(</m:t>
          </m:r>
          <m:sSub>
            <m:e>
              <m:r>
                <m:t>n</m:t>
              </m:r>
            </m:e>
            <m:sub>
              <m:r>
                <m:t>1</m:t>
              </m:r>
            </m:sub>
          </m:sSub>
          <m:sSub>
            <m:e>
              <m:r>
                <m:rPr>
                  <m:sty m:val="b"/>
                </m:rPr>
                <m:t>a</m:t>
              </m:r>
            </m:e>
            <m:sub>
              <m:r>
                <m:t>1</m:t>
              </m:r>
            </m:sub>
          </m:sSub>
          <m:r>
            <m:rPr>
              <m:sty m:val="p"/>
            </m:rPr>
            <m:t>+</m:t>
          </m:r>
          <m:sSub>
            <m:e>
              <m:r>
                <m:t>n</m:t>
              </m:r>
            </m:e>
            <m:sub>
              <m:r>
                <m:t>2</m:t>
              </m:r>
            </m:sub>
          </m:sSub>
          <m:sSub>
            <m:e>
              <m:r>
                <m:rPr>
                  <m:sty m:val="b"/>
                </m:rPr>
                <m:t>a</m:t>
              </m:r>
            </m:e>
            <m:sub>
              <m:r>
                <m:t>2</m:t>
              </m:r>
            </m:sub>
          </m:sSub>
          <m:r>
            <m:rPr>
              <m:sty m:val="p"/>
            </m:rPr>
            <m:t>+</m:t>
          </m:r>
          <m:sSub>
            <m:e>
              <m:r>
                <m:t>n</m:t>
              </m:r>
            </m:e>
            <m:sub>
              <m:r>
                <m:t>3</m:t>
              </m:r>
            </m:sub>
          </m:sSub>
          <m:sSub>
            <m:e>
              <m:r>
                <m:rPr>
                  <m:sty m:val="b"/>
                </m:rPr>
                <m:t>a</m:t>
              </m:r>
            </m:e>
            <m:sub>
              <m:r>
                <m:t>3</m:t>
              </m:r>
            </m:sub>
          </m:sSub>
          <m:r>
            <m:rPr>
              <m:sty m:val="p"/>
            </m:rPr>
            <m:t>)</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rPr>
          <w:rFonts w:hint="eastAsia"/>
        </w:rPr>
        <w:t xml:space="preserve">この式から、散乱振幅</w:t>
      </w:r>
      <w:r>
        <w:t xml:space="preserve"> </w:t>
      </w:r>
      <m:oMath>
        <m:r>
          <m:t>S</m:t>
        </m:r>
        <m:r>
          <m:rPr>
            <m:sty m:val="p"/>
          </m:rPr>
          <m:t>(</m:t>
        </m:r>
        <m:r>
          <m:rPr>
            <m:sty m:val="b"/>
          </m:rPr>
          <m:t>k</m:t>
        </m:r>
        <m:r>
          <m:rPr>
            <m:sty m:val="p"/>
          </m:rPr>
          <m:t>)</m:t>
        </m:r>
      </m:oMath>
      <w:r>
        <w:t xml:space="preserve"> </w:t>
      </w:r>
      <w:r>
        <w:rPr>
          <w:rFonts w:hint="eastAsia"/>
        </w:rPr>
        <w:t xml:space="preserve">が極大となるのは、波数ベクトル</w:t>
      </w:r>
      <w:r>
        <w:t xml:space="preserve"> </w:t>
      </w:r>
      <m:oMath>
        <m:r>
          <m:rPr>
            <m:sty m:val="b"/>
          </m:rPr>
          <m:t>k</m:t>
        </m:r>
      </m:oMath>
      <w:r>
        <w:t xml:space="preserve"> </w:t>
      </w:r>
      <w:r>
        <w:rPr>
          <w:rFonts w:hint="eastAsia"/>
        </w:rPr>
        <w:t xml:space="preserve">が特定の条件を満たすときであることがわかります。この条件こそが「ブラッグ条件」であり、</w:t>
      </w:r>
      <m:oMath>
        <m:r>
          <m:rPr>
            <m:sty m:val="b"/>
          </m:rPr>
          <m:t>k</m:t>
        </m:r>
      </m:oMath>
      <w:r>
        <w:t xml:space="preserve"> </w:t>
      </w:r>
      <w:r>
        <w:rPr>
          <w:rFonts w:hint="eastAsia"/>
        </w:rPr>
        <w:t xml:space="preserve">が逆格子ベクトル</w:t>
      </w:r>
      <w:r>
        <w:t xml:space="preserve"> </w:t>
      </w:r>
      <m:oMath>
        <m:sSub>
          <m:e>
            <m:r>
              <m:rPr>
                <m:sty m:val="b"/>
              </m:rPr>
              <m:t>G</m:t>
            </m:r>
          </m:e>
          <m:sub>
            <m:r>
              <m:t>h</m:t>
            </m:r>
            <m:r>
              <m:t>k</m:t>
            </m:r>
            <m:r>
              <m:t>l</m:t>
            </m:r>
          </m:sub>
        </m:sSub>
      </m:oMath>
      <w:r>
        <w:t xml:space="preserve"> </w:t>
      </w:r>
      <w:r>
        <w:rPr>
          <w:rFonts w:hint="eastAsia"/>
        </w:rPr>
        <w:t xml:space="preserve">に等しい場合に</w:t>
      </w:r>
      <w:r>
        <w:t xml:space="preserve"> </w:t>
      </w:r>
      <m:oMath>
        <m:r>
          <m:t>S</m:t>
        </m:r>
        <m:r>
          <m:rPr>
            <m:sty m:val="p"/>
          </m:rPr>
          <m:t>(</m:t>
        </m:r>
        <m:r>
          <m:rPr>
            <m:sty m:val="b"/>
          </m:rPr>
          <m:t>k</m:t>
        </m:r>
        <m:r>
          <m:rPr>
            <m:sty m:val="p"/>
          </m:rPr>
          <m:t>)</m:t>
        </m:r>
      </m:oMath>
      <w:r>
        <w:t xml:space="preserve"> </w:t>
      </w:r>
      <w:r>
        <w:rPr>
          <w:rFonts w:hint="eastAsia"/>
        </w:rPr>
        <w:t xml:space="preserve">が極大となります。</w:t>
      </w:r>
    </w:p>
    <w:p>
      <w:pPr>
        <w:pStyle w:val="BodyText"/>
      </w:pPr>
      <m:oMathPara>
        <m:oMathParaPr>
          <m:jc m:val="center"/>
        </m:oMathParaPr>
        <m:oMath>
          <m:r>
            <m:rPr>
              <m:sty m:val="b"/>
            </m:rPr>
            <m:t>k</m:t>
          </m:r>
          <m:r>
            <m:rPr>
              <m:sty m:val="p"/>
            </m:rPr>
            <m:t>=</m:t>
          </m:r>
          <m:sSub>
            <m:e>
              <m:r>
                <m:rPr>
                  <m:sty m:val="b"/>
                </m:rPr>
                <m:t>G</m:t>
              </m:r>
            </m:e>
            <m:sub>
              <m:r>
                <m:t>h</m:t>
              </m:r>
              <m:r>
                <m:t>k</m:t>
              </m:r>
              <m:r>
                <m:t>l</m:t>
              </m:r>
            </m:sub>
          </m:sSub>
        </m:oMath>
      </m:oMathPara>
    </w:p>
    <w:p>
      <w:pPr>
        <w:pStyle w:val="FirstParagraph"/>
      </w:pPr>
      <w:r>
        <w:t xml:space="preserve">このとき、</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となる逆格子点のみが物理的な意味を持ちます。つまり、回折実験で観測される回折ピークは、逆格子点に対応しているのです。</w:t>
      </w:r>
    </w:p>
    <w:bookmarkEnd w:id="10"/>
    <w:bookmarkStart w:id="11" w:name="逆格子の幾何学的理解"/>
    <w:p>
      <w:pPr>
        <w:pStyle w:val="Heading3"/>
      </w:pPr>
      <w:r>
        <w:t xml:space="preserve">1.2 </w:t>
      </w:r>
      <w:r>
        <w:rPr>
          <w:rFonts w:hint="eastAsia"/>
        </w:rPr>
        <w:t xml:space="preserve">逆格子の幾何学的理解</w:t>
      </w:r>
    </w:p>
    <w:p>
      <w:pPr>
        <w:pStyle w:val="FirstParagraph"/>
      </w:pPr>
      <w:r>
        <w:rPr>
          <w:rFonts w:hint="eastAsia"/>
        </w:rPr>
        <w:t xml:space="preserve">それでは、具体的に逆格子はどのように定義され、実格子とどのような関係にあるのでしょうか。</w:t>
      </w:r>
    </w:p>
    <w:p>
      <w:pPr>
        <w:pStyle w:val="BodyText"/>
      </w:pPr>
      <w:r>
        <w:rPr>
          <w:rFonts w:hint="eastAsia"/>
          <w:b/>
          <w:bCs/>
        </w:rPr>
        <w:t xml:space="preserve">逆格子の基本ベクトル</w:t>
      </w:r>
    </w:p>
    <w:p>
      <w:pPr>
        <w:pStyle w:val="BodyText"/>
      </w:pPr>
      <w:r>
        <w:rPr>
          <w:rFonts w:hint="eastAsia"/>
        </w:rPr>
        <w:t xml:space="preserve">実格子が基本ベクトル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で張られるとき、対応する逆格子の基本ベクトル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は次のように定義されます。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t xml:space="preserve">ここで</w:t>
      </w:r>
      <w:r>
        <w:t xml:space="preserve"> </w:t>
      </w:r>
      <m:oMath>
        <m:r>
          <m:t>V</m:t>
        </m:r>
      </m:oMath>
      <w:r>
        <w:t xml:space="preserve"> </w:t>
      </w:r>
      <w:r>
        <w:rPr>
          <w:rFonts w:hint="eastAsia"/>
        </w:rPr>
        <w:t xml:space="preserve">は実格子の単位胞の体積であり、</w:t>
      </w: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rPr>
          <w:rFonts w:hint="eastAsia"/>
        </w:rPr>
        <w:t xml:space="preserve">で与えられます。この定義から、逆格子の基本ベクトルは以下の「規格直交条件」を満たします。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sSub>
            <m:e>
              <m:r>
                <m:t>δ</m:t>
              </m:r>
            </m:e>
            <m:sub>
              <m:r>
                <m:t>i</m:t>
              </m:r>
              <m:r>
                <m:t>j</m:t>
              </m:r>
            </m:sub>
          </m:sSub>
        </m:oMath>
      </m:oMathPara>
    </w:p>
    <w:p>
      <w:pPr>
        <w:pStyle w:val="FirstParagraph"/>
      </w:pPr>
      <w:r>
        <w:t xml:space="preserve">ここで</w:t>
      </w:r>
      <w:r>
        <w:t xml:space="preserve"> </w:t>
      </w:r>
      <m:oMath>
        <m:sSub>
          <m:e>
            <m:r>
              <m:t>δ</m:t>
            </m:r>
          </m:e>
          <m:sub>
            <m:r>
              <m:t>i</m:t>
            </m:r>
            <m:r>
              <m:t>j</m:t>
            </m:r>
          </m:sub>
        </m:sSub>
      </m:oMath>
      <w:r>
        <w:t xml:space="preserve"> </w:t>
      </w:r>
      <w:r>
        <w:rPr>
          <w:rFonts w:hint="eastAsia"/>
        </w:rPr>
        <w:t xml:space="preserve">はクロネッカーのデルタ（Kronecker</w:t>
      </w:r>
      <w:r>
        <w:t xml:space="preserve"> </w:t>
      </w:r>
      <w:r>
        <w:rPr>
          <w:rFonts w:hint="eastAsia"/>
        </w:rPr>
        <w:t xml:space="preserve">delta）と呼ばれる記号で、</w:t>
      </w:r>
      <m:oMath>
        <m:r>
          <m:t>i</m:t>
        </m:r>
        <m:r>
          <m:rPr>
            <m:sty m:val="p"/>
          </m:rPr>
          <m:t>=</m:t>
        </m:r>
        <m:r>
          <m:t>j</m:t>
        </m:r>
      </m:oMath>
      <w:r>
        <w:t xml:space="preserve"> </w:t>
      </w:r>
      <w:r>
        <w:t xml:space="preserve">のときに1、</w:t>
      </w:r>
      <m:oMath>
        <m:r>
          <m:t>i</m:t>
        </m:r>
        <m:r>
          <m:rPr>
            <m:sty m:val="p"/>
          </m:rPr>
          <m:t>≠</m:t>
        </m:r>
        <m:r>
          <m:t>j</m:t>
        </m:r>
      </m:oMath>
      <w:r>
        <w:t xml:space="preserve"> </w:t>
      </w:r>
      <w:r>
        <w:rPr>
          <w:rFonts w:hint="eastAsia"/>
        </w:rPr>
        <w:t xml:space="preserve">のときに0となります。これは、逆格子の基本ベクトル</w:t>
      </w:r>
      <w:r>
        <w:t xml:space="preserve"> </w:t>
      </w:r>
      <m:oMath>
        <m:sSubSup>
          <m:e>
            <m:r>
              <m:rPr>
                <m:sty m:val="b"/>
              </m:rPr>
              <m:t>a</m:t>
            </m:r>
          </m:e>
          <m:sub>
            <m:r>
              <m:t>i</m:t>
            </m:r>
          </m:sub>
          <m:sup>
            <m:r>
              <m:rPr>
                <m:sty m:val="p"/>
              </m:rPr>
              <m:t>*</m:t>
            </m:r>
          </m:sup>
        </m:sSubSup>
      </m:oMath>
      <w:r>
        <w:t xml:space="preserve"> </w:t>
      </w:r>
      <w:r>
        <w:rPr>
          <w:rFonts w:hint="eastAsia"/>
        </w:rPr>
        <w:t xml:space="preserve">が、実格子の基本ベクトル</w:t>
      </w:r>
      <w:r>
        <w:t xml:space="preserve"> </w:t>
      </w:r>
      <m:oMath>
        <m:sSub>
          <m:e>
            <m:r>
              <m:rPr>
                <m:sty m:val="b"/>
              </m:rPr>
              <m:t>a</m:t>
            </m:r>
          </m:e>
          <m:sub>
            <m:r>
              <m:t>j</m:t>
            </m:r>
          </m:sub>
        </m:sSub>
      </m:oMath>
      <w:r>
        <w:t xml:space="preserve"> </w:t>
      </w:r>
      <w:r>
        <w:t xml:space="preserve">(</w:t>
      </w:r>
      <m:oMath>
        <m:r>
          <m:t>j</m:t>
        </m:r>
        <m:r>
          <m:rPr>
            <m:sty m:val="p"/>
          </m:rPr>
          <m:t>≠</m:t>
        </m:r>
        <m:r>
          <m:t>i</m:t>
        </m:r>
      </m:oMath>
      <w:r>
        <w:t xml:space="preserve">) </w:t>
      </w:r>
      <w:r>
        <w:rPr>
          <w:rFonts w:hint="eastAsia"/>
        </w:rPr>
        <w:t xml:space="preserve">に直交し、自身に対応する実格子の基本ベクトル</w:t>
      </w:r>
      <w:r>
        <w:t xml:space="preserve"> </w:t>
      </w:r>
      <m:oMath>
        <m:sSub>
          <m:e>
            <m:r>
              <m:rPr>
                <m:sty m:val="b"/>
              </m:rPr>
              <m:t>a</m:t>
            </m:r>
          </m:e>
          <m:sub>
            <m:r>
              <m:t>i</m:t>
            </m:r>
          </m:sub>
        </m:sSub>
      </m:oMath>
      <w:r>
        <w:t xml:space="preserve"> </w:t>
      </w:r>
      <w:r>
        <w:rPr>
          <w:rFonts w:hint="eastAsia"/>
        </w:rPr>
        <w:t xml:space="preserve">との内積が1になることを意味します。</w:t>
      </w:r>
    </w:p>
    <w:p>
      <w:pPr>
        <w:pStyle w:val="BodyText"/>
      </w:pPr>
      <w:r>
        <w:rPr>
          <w:rFonts w:hint="eastAsia"/>
          <w:b/>
          <w:bCs/>
        </w:rPr>
        <w:t xml:space="preserve">幾何学的特性</w:t>
      </w:r>
    </w:p>
    <w:p>
      <w:pPr>
        <w:pStyle w:val="BodyText"/>
      </w:pPr>
      <w:r>
        <w:rPr>
          <w:rFonts w:hint="eastAsia"/>
        </w:rPr>
        <w:t xml:space="preserve">この定義から、逆格子の幾何学的特性を理解することができます。</w:t>
      </w:r>
    </w:p>
    <w:p>
      <w:pPr>
        <w:numPr>
          <w:ilvl w:val="0"/>
          <w:numId w:val="1002"/>
        </w:numPr>
      </w:pPr>
      <w:r>
        <w:rPr>
          <w:rFonts w:hint="eastAsia"/>
          <w:b/>
          <w:bCs/>
        </w:rPr>
        <w:t xml:space="preserve">直交性:</w:t>
      </w:r>
      <w:r>
        <w:t xml:space="preserve"> </w:t>
      </w:r>
      <w:r>
        <w:rPr>
          <w:rFonts w:hint="eastAsia"/>
        </w:rPr>
        <w:t xml:space="preserve">逆格子ベクトル</w:t>
      </w:r>
      <w:r>
        <w:t xml:space="preserve"> </w:t>
      </w:r>
      <m:oMath>
        <m:sSubSup>
          <m:e>
            <m:r>
              <m:rPr>
                <m:sty m:val="b"/>
              </m:rPr>
              <m:t>a</m:t>
            </m:r>
          </m:e>
          <m:sub>
            <m:r>
              <m:t>1</m:t>
            </m:r>
          </m:sub>
          <m:sup>
            <m:r>
              <m:rPr>
                <m:sty m:val="p"/>
              </m:rPr>
              <m:t>*</m:t>
            </m:r>
          </m:sup>
        </m:sSubSup>
      </m:oMath>
      <w:r>
        <w:t xml:space="preserve"> </w:t>
      </w:r>
      <w:r>
        <w:rPr>
          <w:rFonts w:hint="eastAsia"/>
        </w:rPr>
        <w:t xml:space="preserve">は実格子ベクトル</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に直交します。一般に、</w:t>
      </w:r>
      <m:oMath>
        <m:sSubSup>
          <m:e>
            <m:r>
              <m:rPr>
                <m:sty m:val="b"/>
              </m:rPr>
              <m:t>a</m:t>
            </m:r>
          </m:e>
          <m:sub>
            <m:r>
              <m:t>i</m:t>
            </m:r>
          </m:sub>
          <m:sup>
            <m:r>
              <m:rPr>
                <m:sty m:val="p"/>
              </m:rPr>
              <m:t>*</m:t>
            </m:r>
          </m:sup>
        </m:sSubSup>
      </m:oMath>
      <w:r>
        <w:t xml:space="preserve"> </w:t>
      </w:r>
      <w:r>
        <w:t xml:space="preserve">は</w:t>
      </w:r>
      <w:r>
        <w:t xml:space="preserve"> </w:t>
      </w:r>
      <m:oMath>
        <m:sSub>
          <m:e>
            <m:r>
              <m:rPr>
                <m:sty m:val="b"/>
              </m:rPr>
              <m:t>a</m:t>
            </m:r>
          </m:e>
          <m:sub>
            <m:r>
              <m:t>j</m:t>
            </m:r>
          </m:sub>
        </m:sSub>
      </m:oMath>
      <w:r>
        <w:t xml:space="preserve"> </w:t>
      </w:r>
      <w:r>
        <w:t xml:space="preserve">(</w:t>
      </w:r>
      <m:oMath>
        <m:r>
          <m:t>j</m:t>
        </m:r>
        <m:r>
          <m:rPr>
            <m:sty m:val="p"/>
          </m:rPr>
          <m:t>≠</m:t>
        </m:r>
        <m:r>
          <m:t>i</m:t>
        </m:r>
      </m:oMath>
      <w:r>
        <w:t xml:space="preserve">) </w:t>
      </w:r>
      <w:r>
        <w:rPr>
          <w:rFonts w:hint="eastAsia"/>
        </w:rPr>
        <w:t xml:space="preserve">に直交します。</w:t>
      </w:r>
    </w:p>
    <w:p>
      <w:pPr>
        <w:pStyle w:val="Compact"/>
        <w:numPr>
          <w:ilvl w:val="1"/>
          <w:numId w:val="1003"/>
        </w:numPr>
      </w:pPr>
      <w:r>
        <w:rPr>
          <w:rFonts w:hint="eastAsia"/>
        </w:rPr>
        <w:t xml:space="preserve">スライド4の図1：</w:t>
      </w:r>
      <w:r>
        <w:rPr>
          <w:rStyle w:val="VerbatimChar"/>
        </w:rPr>
        <w:t xml:space="preserve">images\slide4_image1.png</w:t>
      </w:r>
      <w:r>
        <w:t xml:space="preserve"> </w:t>
      </w:r>
      <w:r>
        <w:rPr>
          <w:rFonts w:hint="eastAsia"/>
        </w:rPr>
        <w:t xml:space="preserve">を参照すると、</w:t>
      </w:r>
      <m:oMath>
        <m:sSubSup>
          <m:e>
            <m:r>
              <m:rPr>
                <m:sty m:val="b"/>
              </m:rPr>
              <m:t>a</m:t>
            </m:r>
          </m:e>
          <m:sub>
            <m:r>
              <m:t>1</m:t>
            </m:r>
          </m:sub>
          <m:sup>
            <m:r>
              <m:rPr>
                <m:sty m:val="p"/>
              </m:rPr>
              <m:t>*</m:t>
            </m:r>
          </m:sup>
        </m:sSubSup>
      </m:oMath>
      <w:r>
        <w:t xml:space="preserve"> </w:t>
      </w:r>
      <w:r>
        <w:t xml:space="preserve">が</w:t>
      </w:r>
      <w:r>
        <w:t xml:space="preserve"> </w:t>
      </w:r>
      <m:oMath>
        <m:sSub>
          <m:e>
            <m:r>
              <m:rPr>
                <m:sty m:val="b"/>
              </m:rPr>
              <m:t>a</m:t>
            </m:r>
          </m:e>
          <m:sub>
            <m:r>
              <m:t>2</m:t>
            </m:r>
          </m:sub>
        </m:sSub>
      </m:oMath>
      <w:r>
        <w:t xml:space="preserve"> </w:t>
      </w:r>
      <w:r>
        <w:rPr>
          <w:rFonts w:hint="eastAsia"/>
        </w:rPr>
        <w:t xml:space="preserve">軸に直交していることが視覚的に示されています。</w:t>
      </w:r>
    </w:p>
    <w:p>
      <w:pPr>
        <w:numPr>
          <w:ilvl w:val="0"/>
          <w:numId w:val="1002"/>
        </w:numPr>
      </w:pPr>
      <w:r>
        <w:rPr>
          <w:rFonts w:hint="eastAsia"/>
          <w:b/>
          <w:bCs/>
        </w:rPr>
        <w:t xml:space="preserve">長さの反比例関係:</w:t>
      </w:r>
      <w:r>
        <w:t xml:space="preserve"> </w:t>
      </w:r>
      <w:r>
        <w:rPr>
          <w:rFonts w:hint="eastAsia"/>
        </w:rPr>
        <w:t xml:space="preserve">逆格子の基本ベクトルの長さは、おおよそ実格子の基本ベクトルの長さの逆数に比例します。例えば、</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の関係があります。より正確には、</w:t>
      </w:r>
    </w:p>
    <w:p>
      <w:pPr>
        <w:pStyle w:val="BodyText"/>
      </w:pPr>
      <m:oMathPara>
        <m:oMathParaPr>
          <m:jc m:val="center"/>
        </m:oMathParaPr>
        <m:oMath>
          <m:r>
            <m:rPr>
              <m:sty m:val="p"/>
            </m:rPr>
            <m:t>|</m:t>
          </m:r>
          <m:sSubSup>
            <m:e>
              <m:r>
                <m:rPr>
                  <m:sty m:val="b"/>
                </m:rPr>
                <m:t>a</m:t>
              </m:r>
            </m:e>
            <m:sub>
              <m:r>
                <m:t>1</m:t>
              </m:r>
            </m:sub>
            <m:sup>
              <m:r>
                <m:rPr>
                  <m:sty m:val="p"/>
                </m:rPr>
                <m:t>∗</m:t>
              </m:r>
            </m:sup>
          </m:sSubSup>
          <m:r>
            <m:rPr>
              <m:sty m:val="p"/>
            </m:rPr>
            <m:t>|</m:t>
          </m:r>
          <m:r>
            <m:rPr>
              <m:sty m:val="p"/>
            </m:rPr>
            <m:t>=</m:t>
          </m:r>
          <m:f>
            <m:fPr>
              <m:type m:val="bar"/>
            </m:fPr>
            <m:num>
              <m:r>
                <m:rPr>
                  <m:sty m:val="p"/>
                </m:rPr>
                <m:t>|</m:t>
              </m:r>
              <m:sSub>
                <m:e>
                  <m:r>
                    <m:rPr>
                      <m:sty m:val="b"/>
                    </m:rPr>
                    <m:t>a</m:t>
                  </m:r>
                </m:e>
                <m:sub>
                  <m:r>
                    <m:t>2</m:t>
                  </m:r>
                </m:sub>
              </m:sSub>
              <m:r>
                <m:rPr>
                  <m:sty m:val="p"/>
                </m:rPr>
                <m:t>×</m:t>
              </m:r>
              <m:sSub>
                <m:e>
                  <m:r>
                    <m:rPr>
                      <m:sty m:val="b"/>
                    </m:rPr>
                    <m:t>a</m:t>
                  </m:r>
                </m:e>
                <m:sub>
                  <m:r>
                    <m:t>3</m:t>
                  </m:r>
                </m:sub>
              </m:sSub>
              <m:r>
                <m:rPr>
                  <m:sty m:val="p"/>
                </m:rPr>
                <m:t>|</m:t>
              </m:r>
            </m:num>
            <m:den>
              <m:r>
                <m:t>V</m:t>
              </m:r>
            </m:den>
          </m:f>
        </m:oMath>
      </m:oMathPara>
    </w:p>
    <w:p>
      <w:pPr>
        <w:numPr>
          <w:ilvl w:val="0"/>
          <w:numId w:val="1000"/>
        </w:numPr>
      </w:pPr>
      <w:r>
        <w:rPr>
          <w:rFonts w:hint="eastAsia"/>
        </w:rPr>
        <w:t xml:space="preserve">が成り立ちます。もし</w:t>
      </w:r>
      <w:r>
        <w:t xml:space="preserve"> </w:t>
      </w:r>
      <m:oMath>
        <m:sSub>
          <m:e>
            <m:r>
              <m:rPr>
                <m:sty m:val="b"/>
              </m:rPr>
              <m:t>a</m:t>
            </m:r>
          </m:e>
          <m:sub>
            <m:r>
              <m:t>1</m:t>
            </m:r>
          </m:sub>
        </m:sSub>
      </m:oMath>
      <w:r>
        <w:t xml:space="preserve"> </w:t>
      </w:r>
      <w:r>
        <w:t xml:space="preserve">が</w:t>
      </w:r>
      <w:r>
        <w:t xml:space="preserve"> </w:t>
      </w:r>
      <m:oMath>
        <m:sSub>
          <m:e>
            <m:r>
              <m:rPr>
                <m:sty m:val="b"/>
              </m:rPr>
              <m:t>a</m:t>
            </m:r>
          </m:e>
          <m:sub>
            <m:r>
              <m:t>2</m:t>
            </m:r>
          </m:sub>
        </m:sSub>
        <m:r>
          <m:rPr>
            <m:sty m:val="p"/>
          </m:rPr>
          <m:t>×</m:t>
        </m:r>
        <m:sSub>
          <m:e>
            <m:r>
              <m:rPr>
                <m:sty m:val="b"/>
              </m:rPr>
              <m:t>a</m:t>
            </m:r>
          </m:e>
          <m:sub>
            <m:r>
              <m:t>3</m:t>
            </m:r>
          </m:sub>
        </m:sSub>
      </m:oMath>
      <w:r>
        <w:t xml:space="preserve"> </w:t>
      </w:r>
      <w:r>
        <w:rPr>
          <w:rFonts w:hint="eastAsia"/>
        </w:rPr>
        <w:t xml:space="preserve">と平行（直交座標系では3つのベクトルが互いに直交）であれば、</w:t>
      </w:r>
      <m:oMath>
        <m:r>
          <m:t>V</m:t>
        </m:r>
        <m:r>
          <m:rPr>
            <m:sty m:val="p"/>
          </m:rPr>
          <m:t>=</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t xml:space="preserve">となるため、</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となります。非直交系ではこの単純な関係は成り立ちませんが、おおまかな目安として有用です。</w:t>
      </w:r>
    </w:p>
    <w:p>
      <w:pPr>
        <w:numPr>
          <w:ilvl w:val="0"/>
          <w:numId w:val="1000"/>
        </w:numPr>
      </w:pPr>
      <w:r>
        <w:rPr>
          <w:rFonts w:hint="eastAsia"/>
          <w:i/>
          <w:iCs/>
        </w:rPr>
        <w:t xml:space="preserve">補足:</w:t>
      </w:r>
      <w:r>
        <w:rPr>
          <w:i/>
          <w:iCs/>
        </w:rPr>
        <w:t xml:space="preserve"> </w:t>
      </w:r>
      <w:r>
        <w:rPr>
          <w:rFonts w:hint="eastAsia"/>
          <w:i/>
          <w:iCs/>
        </w:rPr>
        <w:t xml:space="preserve">定義式の前に</w:t>
      </w:r>
      <w:r>
        <w:rPr>
          <w:i/>
          <w:iCs/>
        </w:rPr>
        <w:t xml:space="preserve"> </w:t>
      </w:r>
      <m:oMath>
        <m:r>
          <m:t>2</m:t>
        </m:r>
        <m:r>
          <m:t>π</m:t>
        </m:r>
      </m:oMath>
      <w:r>
        <w:rPr>
          <w:i/>
          <w:iCs/>
        </w:rPr>
        <w:t xml:space="preserve"> </w:t>
      </w:r>
      <w:r>
        <w:rPr>
          <w:rFonts w:hint="eastAsia"/>
          <w:i/>
          <w:iCs/>
        </w:rPr>
        <w:t xml:space="preserve">をつける流儀もあります。その場合、</w:t>
      </w:r>
      <m:oMath>
        <m:sSubSup>
          <m:e>
            <m:r>
              <m:rPr>
                <m:sty m:val="b"/>
              </m:rPr>
              <m:t>a</m:t>
            </m:r>
          </m:e>
          <m:sub>
            <m:r>
              <m:t>1</m:t>
            </m:r>
          </m:sub>
          <m:sup>
            <m:r>
              <m:rPr>
                <m:sty m:val="p"/>
              </m:rPr>
              <m:t>∗</m:t>
            </m:r>
          </m:sup>
        </m:sSubSup>
        <m:r>
          <m:rPr>
            <m:sty m:val="p"/>
          </m:rPr>
          <m:t>=</m:t>
        </m:r>
        <m:r>
          <m:t>2</m:t>
        </m:r>
        <m:r>
          <m:t>π</m:t>
        </m:r>
        <m:f>
          <m:fPr>
            <m:type m:val="bar"/>
          </m:fPr>
          <m:num>
            <m:sSub>
              <m:e>
                <m:r>
                  <m:rPr>
                    <m:sty m:val="b"/>
                  </m:rPr>
                  <m:t>a</m:t>
                </m:r>
              </m:e>
              <m:sub>
                <m:r>
                  <m:t>2</m:t>
                </m:r>
              </m:sub>
            </m:sSub>
            <m:r>
              <m:rPr>
                <m:sty m:val="p"/>
              </m:rPr>
              <m:t>×</m:t>
            </m:r>
            <m:sSub>
              <m:e>
                <m:r>
                  <m:rPr>
                    <m:sty m:val="b"/>
                  </m:rPr>
                  <m:t>a</m:t>
                </m:r>
              </m:e>
              <m:sub>
                <m:r>
                  <m:t>3</m:t>
                </m:r>
              </m:sub>
            </m:sSub>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w:r>
        <w:rPr>
          <w:i/>
          <w:iCs/>
        </w:rPr>
        <w:t xml:space="preserve"> </w:t>
      </w:r>
      <w:r>
        <w:rPr>
          <w:rFonts w:hint="eastAsia"/>
          <w:i/>
          <w:iCs/>
        </w:rPr>
        <w:t xml:space="preserve">となります。この講義では、</w:t>
      </w:r>
      <m:oMath>
        <m:r>
          <m:t>2</m:t>
        </m:r>
        <m:r>
          <m:t>π</m:t>
        </m:r>
      </m:oMath>
      <w:r>
        <w:rPr>
          <w:i/>
          <w:iCs/>
        </w:rPr>
        <w:t xml:space="preserve"> </w:t>
      </w:r>
      <w:r>
        <w:rPr>
          <w:rFonts w:hint="eastAsia"/>
          <w:i/>
          <w:iCs/>
        </w:rPr>
        <w:t xml:space="preserve">を含めない定義を採用しています。</w:t>
      </w:r>
    </w:p>
    <w:p>
      <w:pPr>
        <w:numPr>
          <w:ilvl w:val="0"/>
          <w:numId w:val="1002"/>
        </w:numPr>
      </w:pPr>
      <w:r>
        <w:rPr>
          <w:rFonts w:hint="eastAsia"/>
          <w:b/>
          <w:bCs/>
        </w:rPr>
        <w:t xml:space="preserve">軸角の補角関係:</w:t>
      </w:r>
      <w:r>
        <w:t xml:space="preserve"> </w:t>
      </w:r>
      <w:r>
        <w:rPr>
          <w:rFonts w:hint="eastAsia"/>
        </w:rPr>
        <w:t xml:space="preserve">実格子の軸角が</w:t>
      </w:r>
      <w:r>
        <w:t xml:space="preserve"> </w:t>
      </w:r>
      <m:oMath>
        <m:r>
          <m:t>α</m:t>
        </m:r>
        <m:r>
          <m:rPr>
            <m:sty m:val="p"/>
          </m:rPr>
          <m:t>,</m:t>
        </m:r>
        <m:r>
          <m:t>β</m:t>
        </m:r>
        <m:r>
          <m:rPr>
            <m:sty m:val="p"/>
          </m:rPr>
          <m:t>,</m:t>
        </m:r>
        <m:r>
          <m:t>γ</m:t>
        </m:r>
      </m:oMath>
      <w:r>
        <w:t xml:space="preserve"> </w:t>
      </w:r>
      <w:r>
        <w:rPr>
          <w:rFonts w:hint="eastAsia"/>
        </w:rPr>
        <w:t xml:space="preserve">であるとき、逆格子の軸角</w:t>
      </w:r>
      <w:r>
        <w:t xml:space="preserve"> </w:t>
      </w:r>
      <m:oMath>
        <m:sSup>
          <m:e>
            <m:r>
              <m:t>α</m:t>
            </m:r>
          </m:e>
          <m:sup>
            <m:r>
              <m:rPr>
                <m:sty m:val="p"/>
              </m:rPr>
              <m:t>*</m:t>
            </m:r>
          </m:sup>
        </m:sSup>
        <m:r>
          <m:rPr>
            <m:sty m:val="p"/>
          </m:rPr>
          <m:t>,</m:t>
        </m:r>
        <m:sSup>
          <m:e>
            <m:r>
              <m:t>β</m:t>
            </m:r>
          </m:e>
          <m:sup>
            <m:r>
              <m:rPr>
                <m:sty m:val="p"/>
              </m:rPr>
              <m:t>*</m:t>
            </m:r>
          </m:sup>
        </m:sSup>
        <m:r>
          <m:rPr>
            <m:sty m:val="p"/>
          </m:rPr>
          <m:t>,</m:t>
        </m:r>
        <m:sSup>
          <m:e>
            <m:r>
              <m:t>γ</m:t>
            </m:r>
          </m:e>
          <m:sup>
            <m:r>
              <m:rPr>
                <m:sty m:val="p"/>
              </m:rPr>
              <m:t>*</m:t>
            </m:r>
          </m:sup>
        </m:sSup>
      </m:oMath>
      <w:r>
        <w:t xml:space="preserve"> </w:t>
      </w:r>
      <w:r>
        <w:rPr>
          <w:rFonts w:hint="eastAsia"/>
        </w:rPr>
        <w:t xml:space="preserve">は、非直交座標系の場合には単純な補角関係（例:</w:t>
      </w:r>
      <w:r>
        <w:t xml:space="preserve"> </w:t>
      </w:r>
      <m:oMath>
        <m:sSup>
          <m:e>
            <m:r>
              <m:t>α</m:t>
            </m:r>
          </m:e>
          <m:sup>
            <m:r>
              <m:rPr>
                <m:sty m:val="p"/>
              </m:rPr>
              <m:t>*</m:t>
            </m:r>
          </m:sup>
        </m:sSup>
        <m:r>
          <m:rPr>
            <m:sty m:val="p"/>
          </m:rPr>
          <m:t>=</m:t>
        </m:r>
        <m:sSup>
          <m:e>
            <m:r>
              <m:t>180</m:t>
            </m:r>
          </m:e>
          <m:sup>
            <m:r>
              <m:rPr>
                <m:sty m:val="p"/>
              </m:rPr>
              <m:t>∘</m:t>
            </m:r>
          </m:sup>
        </m:sSup>
        <m:r>
          <m:rPr>
            <m:sty m:val="p"/>
          </m:rPr>
          <m:t>−</m:t>
        </m:r>
        <m:r>
          <m:t>α</m:t>
        </m:r>
      </m:oMath>
      <w:r>
        <w:rPr>
          <w:rFonts w:hint="eastAsia"/>
        </w:rPr>
        <w:t xml:space="preserve">）にはなりません。しかし、直交座標系では軸角はすべて90°であり、逆格子の軸角も90°であるため、この関係は成り立ちます。一般的には、両者の軸角は複雑な関係を持ちますが、大まかな傾向として理解しておくと良いでしょう。</w:t>
      </w:r>
    </w:p>
    <w:p>
      <w:pPr>
        <w:pStyle w:val="FirstParagraph"/>
      </w:pPr>
      <w:r>
        <w:rPr>
          <w:rFonts w:hint="eastAsia"/>
          <w:b/>
          <w:bCs/>
        </w:rPr>
        <w:t xml:space="preserve">逆格子の作図</w:t>
      </w:r>
    </w:p>
    <w:p>
      <w:pPr>
        <w:pStyle w:val="BodyText"/>
      </w:pPr>
      <w:r>
        <w:rPr>
          <w:rFonts w:hint="eastAsia"/>
        </w:rPr>
        <w:t xml:space="preserve">実格子の基本ベクトルが与えられれば、逆格子の基本ベクトルを作図することができます。スライド4の図2：</w:t>
      </w:r>
      <w:r>
        <w:rPr>
          <w:rStyle w:val="VerbatimChar"/>
        </w:rPr>
        <w:t xml:space="preserve">images\slide4_image2.png</w:t>
      </w:r>
      <w:r>
        <w:t xml:space="preserve"> </w:t>
      </w:r>
      <w:r>
        <w:rPr>
          <w:rFonts w:hint="eastAsia"/>
        </w:rPr>
        <w:t xml:space="preserve">に示されているように、まず</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に直交するように描かれ、その長さは実格子の長さと反比例の関係を持つように調整されます。</w:t>
      </w:r>
    </w:p>
    <w:bookmarkEnd w:id="11"/>
    <w:bookmarkStart w:id="12" w:name="逆格子のbravais格子と消滅則"/>
    <w:p>
      <w:pPr>
        <w:pStyle w:val="Heading3"/>
      </w:pPr>
      <w:r>
        <w:t xml:space="preserve">1.3 </w:t>
      </w:r>
      <w:r>
        <w:rPr>
          <w:rFonts w:hint="eastAsia"/>
        </w:rPr>
        <w:t xml:space="preserve">逆格子のBravais格子と消滅則</w:t>
      </w:r>
    </w:p>
    <w:p>
      <w:pPr>
        <w:pStyle w:val="FirstParagraph"/>
      </w:pPr>
      <w:r>
        <w:rPr>
          <w:rFonts w:hint="eastAsia"/>
        </w:rPr>
        <w:t xml:space="preserve">実格子から逆格子を作図する際に、単位格子をどのように選ぶかによって、見かけ上異なる逆格子が得られることがあります。しかし、この問題は「消滅則（Systematic</w:t>
      </w:r>
      <w:r>
        <w:t xml:space="preserve"> </w:t>
      </w:r>
      <w:r>
        <w:rPr>
          <w:rFonts w:hint="eastAsia"/>
        </w:rPr>
        <w:t xml:space="preserve">Absences）」を考慮に入れることで解決され、逆格子のBravais格子は一意に決まります。</w:t>
      </w:r>
    </w:p>
    <w:p>
      <w:pPr>
        <w:pStyle w:val="BodyText"/>
      </w:pPr>
      <w:r>
        <w:rPr>
          <w:rFonts w:hint="eastAsia"/>
          <w:b/>
          <w:bCs/>
        </w:rPr>
        <w:t xml:space="preserve">単位格子の任意性</w:t>
      </w:r>
    </w:p>
    <w:p>
      <w:pPr>
        <w:pStyle w:val="BodyText"/>
      </w:pPr>
      <w:r>
        <w:rPr>
          <w:rFonts w:hint="eastAsia"/>
        </w:rPr>
        <w:t xml:space="preserve">スライド5に示される2次元面心直方格子の例を見てみましょう。</w:t>
      </w:r>
      <w:r>
        <w:t xml:space="preserve"> </w:t>
      </w:r>
      <w:r>
        <w:t xml:space="preserve">* </w:t>
      </w:r>
      <w:r>
        <w:rPr>
          <w:rFonts w:hint="eastAsia"/>
        </w:rPr>
        <w:t xml:space="preserve">実格子の</w:t>
      </w:r>
      <w:r>
        <w:rPr>
          <w:rFonts w:hint="eastAsia"/>
          <w:b/>
          <w:bCs/>
        </w:rPr>
        <w:t xml:space="preserve">Bravais格子</w:t>
      </w:r>
      <w:r>
        <w:rPr>
          <w:rFonts w:hint="eastAsia"/>
        </w:rPr>
        <w:t xml:space="preserve">（面心格子）の基本ベクトルから逆格子を組むと、ある配列の逆格子点が得られます。</w:t>
      </w:r>
      <w:r>
        <w:t xml:space="preserve"> </w:t>
      </w:r>
      <w:r>
        <w:t xml:space="preserve">* </w:t>
      </w:r>
      <w:r>
        <w:rPr>
          <w:rFonts w:hint="eastAsia"/>
        </w:rPr>
        <w:t xml:space="preserve">実格子の</w:t>
      </w:r>
      <w:r>
        <w:rPr>
          <w:rFonts w:hint="eastAsia"/>
          <w:b/>
          <w:bCs/>
        </w:rPr>
        <w:t xml:space="preserve">Primitive格子</w:t>
      </w:r>
      <w:r>
        <w:rPr>
          <w:rFonts w:hint="eastAsia"/>
        </w:rPr>
        <w:t xml:space="preserve">（単純格子）の基本ベクトルから逆格子を組むと、別の配列の逆格子点が得られるように見えます。</w:t>
      </w:r>
    </w:p>
    <w:p>
      <w:pPr>
        <w:pStyle w:val="BodyText"/>
      </w:pPr>
      <w:r>
        <w:rPr>
          <w:rFonts w:hint="eastAsia"/>
        </w:rPr>
        <w:t xml:space="preserve">これは、実格子の単位格子の取り方が任意であることに起因します。しかし、これは逆格子が一意に決まらないという問題ではなく、物理的な意味を持つ逆格子点を選び出すルール、すなわち「消滅則」を考慮することで解消されます。</w:t>
      </w:r>
    </w:p>
    <w:p>
      <w:pPr>
        <w:pStyle w:val="BodyText"/>
      </w:pPr>
      <w:r>
        <w:rPr>
          <w:rFonts w:hint="eastAsia"/>
          <w:b/>
          <w:bCs/>
        </w:rPr>
        <w:t xml:space="preserve">消滅則の考慮</w:t>
      </w:r>
    </w:p>
    <w:p>
      <w:pPr>
        <w:pStyle w:val="BodyText"/>
      </w:pPr>
      <w:r>
        <w:rPr>
          <w:rFonts w:hint="eastAsia"/>
        </w:rPr>
        <w:t xml:space="preserve">先述の散乱理論の式</w:t>
      </w:r>
      <w:r>
        <w:t xml:space="preserve"> </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の条件は、すべての逆格子点が回折ピークを与えるわけではないことを意味します。結晶構造が特定の対称性を持つ場合、特定のミラー指数</w:t>
      </w:r>
      <w:r>
        <w:t xml:space="preserve"> </w:t>
      </w:r>
      <m:oMath>
        <m:r>
          <m:rPr>
            <m:sty m:val="p"/>
          </m:rPr>
          <m:t>(</m:t>
        </m:r>
        <m:r>
          <m:t>h</m:t>
        </m:r>
        <m:r>
          <m:t>k</m:t>
        </m:r>
        <m:r>
          <m:t>l</m:t>
        </m:r>
        <m:r>
          <m:rPr>
            <m:sty m:val="p"/>
          </m:rPr>
          <m:t>)</m:t>
        </m:r>
      </m:oMath>
      <w:r>
        <w:t xml:space="preserve"> </w:t>
      </w:r>
      <w:r>
        <w:rPr>
          <w:rFonts w:hint="eastAsia"/>
        </w:rPr>
        <w:t xml:space="preserve">を持つ逆格子点では散乱振幅</w:t>
      </w:r>
      <w:r>
        <w:t xml:space="preserve"> </w:t>
      </w:r>
      <m:oMath>
        <m:r>
          <m:t>S</m:t>
        </m:r>
        <m:r>
          <m:rPr>
            <m:sty m:val="p"/>
          </m:rPr>
          <m:t>(</m:t>
        </m:r>
        <m:sSub>
          <m:e>
            <m:r>
              <m:rPr>
                <m:sty m:val="b"/>
              </m:rPr>
              <m:t>G</m:t>
            </m:r>
          </m:e>
          <m:sub>
            <m:r>
              <m:t>h</m:t>
            </m:r>
            <m:r>
              <m:t>k</m:t>
            </m:r>
            <m:r>
              <m:t>l</m:t>
            </m:r>
          </m:sub>
        </m:sSub>
        <m:r>
          <m:rPr>
            <m:sty m:val="p"/>
          </m:rPr>
          <m:t>)</m:t>
        </m:r>
      </m:oMath>
      <w:r>
        <w:t xml:space="preserve"> </w:t>
      </w:r>
      <w:r>
        <w:rPr>
          <w:rFonts w:hint="eastAsia"/>
        </w:rPr>
        <w:t xml:space="preserve">がゼロになり、回折ピークが観測されません。これが「消滅則」です。</w:t>
      </w:r>
    </w:p>
    <w:p>
      <w:pPr>
        <w:pStyle w:val="BodyText"/>
      </w:pPr>
      <w:r>
        <w:rPr>
          <w:rFonts w:hint="eastAsia"/>
        </w:rPr>
        <w:t xml:space="preserve">例えば、実格子のブラべー格子が面心立方格子（FCC）の場合、散乱振幅は</w:t>
      </w:r>
      <w:r>
        <w:t xml:space="preserve"> </w:t>
      </w:r>
      <m:oMath>
        <m:r>
          <m:t>h</m:t>
        </m:r>
        <m:r>
          <m:rPr>
            <m:sty m:val="p"/>
          </m:rPr>
          <m:t>,</m:t>
        </m:r>
        <m:r>
          <m:t>k</m:t>
        </m:r>
        <m:r>
          <m:rPr>
            <m:sty m:val="p"/>
          </m:rPr>
          <m:t>,</m:t>
        </m:r>
        <m:r>
          <m:t>l</m:t>
        </m:r>
      </m:oMath>
      <w:r>
        <w:t xml:space="preserve"> </w:t>
      </w:r>
      <w:r>
        <w:rPr>
          <w:rFonts w:hint="eastAsia"/>
        </w:rPr>
        <w:t xml:space="preserve">がすべて奇数か、すべて偶数の場合にのみゼロになりません（混合指数は消滅）。体心立方格子（BCC）の場合、</w:t>
      </w:r>
      <m:oMath>
        <m:r>
          <m:t>h</m:t>
        </m:r>
        <m:r>
          <m:rPr>
            <m:sty m:val="p"/>
          </m:rPr>
          <m:t>+</m:t>
        </m:r>
        <m:r>
          <m:t>k</m:t>
        </m:r>
        <m:r>
          <m:rPr>
            <m:sty m:val="p"/>
          </m:rPr>
          <m:t>+</m:t>
        </m:r>
        <m:r>
          <m:t>l</m:t>
        </m:r>
      </m:oMath>
      <w:r>
        <w:t xml:space="preserve"> </w:t>
      </w:r>
      <w:r>
        <w:rPr>
          <w:rFonts w:hint="eastAsia"/>
        </w:rPr>
        <w:t xml:space="preserve">が偶数の場合にのみゼロになりません（</w:t>
      </w:r>
      <m:oMath>
        <m:r>
          <m:t>h</m:t>
        </m:r>
        <m:r>
          <m:rPr>
            <m:sty m:val="p"/>
          </m:rPr>
          <m:t>+</m:t>
        </m:r>
        <m:r>
          <m:t>k</m:t>
        </m:r>
        <m:r>
          <m:rPr>
            <m:sty m:val="p"/>
          </m:rPr>
          <m:t>+</m:t>
        </m:r>
        <m:r>
          <m:t>l</m:t>
        </m:r>
      </m:oMath>
      <w:r>
        <w:t xml:space="preserve"> </w:t>
      </w:r>
      <w:r>
        <w:rPr>
          <w:rFonts w:hint="eastAsia"/>
        </w:rPr>
        <w:t xml:space="preserve">が奇数の場合は消滅）。</w:t>
      </w:r>
    </w:p>
    <w:p>
      <w:pPr>
        <w:pStyle w:val="BodyText"/>
      </w:pPr>
      <w:r>
        <w:rPr>
          <w:rFonts w:hint="eastAsia"/>
        </w:rPr>
        <w:t xml:space="preserve">スライド7の2次元面心直方格子の例に戻ると、Primitive格子から得られた逆格子点のうち、消滅則（例:</w:t>
      </w:r>
      <w:r>
        <w:t xml:space="preserve"> </w:t>
      </w:r>
      <m:oMath>
        <m:r>
          <m:t>h</m:t>
        </m:r>
        <m:r>
          <m:rPr>
            <m:sty m:val="p"/>
          </m:rPr>
          <m:t>+</m:t>
        </m:r>
        <m:r>
          <m:t>k</m:t>
        </m:r>
        <m:r>
          <m:rPr>
            <m:sty m:val="p"/>
          </m:rPr>
          <m:t>=</m:t>
        </m:r>
      </m:oMath>
      <w:r>
        <w:t xml:space="preserve"> </w:t>
      </w:r>
      <w:r>
        <w:rPr>
          <w:rFonts w:hint="eastAsia"/>
        </w:rPr>
        <w:t xml:space="preserve">奇数）によって消える点を考慮すると、Bravais格子から得られた逆格子点と同じ配列になり、逆格子も面心格子になることが分かります。これにより、逆格子は一意に決定され、矛盾は解消されます。</w:t>
      </w:r>
    </w:p>
    <w:bookmarkEnd w:id="12"/>
    <w:bookmarkStart w:id="13" w:name="実格子と逆格子のbravais格子関係"/>
    <w:p>
      <w:pPr>
        <w:pStyle w:val="Heading3"/>
      </w:pPr>
      <w:r>
        <w:t xml:space="preserve">1.4 </w:t>
      </w:r>
      <w:r>
        <w:rPr>
          <w:rFonts w:hint="eastAsia"/>
        </w:rPr>
        <w:t xml:space="preserve">実格子と逆格子のBravais格子関係</w:t>
      </w:r>
    </w:p>
    <w:p>
      <w:pPr>
        <w:pStyle w:val="FirstParagraph"/>
      </w:pPr>
      <w:r>
        <w:rPr>
          <w:rFonts w:hint="eastAsia"/>
        </w:rPr>
        <w:t xml:space="preserve">3次元のBravais格子について、実格子と逆格子のBravais格子の関係をまとめると以下のようになります。</w:t>
      </w:r>
    </w:p>
    <w:tbl>
      <w:tblPr>
        <w:tblStyle w:val="Table"/>
        <w:tblW w:type="pct" w:w="5000"/>
        <w:tblLayout w:type="fixed"/>
        <w:tblLook w:firstRow="1" w:lastRow="0" w:firstColumn="0" w:lastColumn="0" w:noHBand="0" w:noVBand="0" w:val="0020"/>
      </w:tblPr>
      <w:tblGrid>
        <w:gridCol w:w="1735"/>
        <w:gridCol w:w="4448"/>
        <w:gridCol w:w="1735"/>
      </w:tblGrid>
      <w:tr>
        <w:trPr>
          <w:tblHeader w:val="on"/>
        </w:trPr>
        <w:tc>
          <w:tcPr/>
          <w:p>
            <w:pPr>
              <w:pStyle w:val="Compact"/>
              <w:jc w:val="left"/>
            </w:pPr>
            <w:r>
              <w:rPr>
                <w:rFonts w:hint="eastAsia"/>
              </w:rPr>
              <w:t xml:space="preserve">実格子</w:t>
            </w:r>
          </w:p>
        </w:tc>
        <w:tc>
          <w:tcPr/>
          <w:p>
            <w:pPr>
              <w:pStyle w:val="Compact"/>
              <w:jc w:val="left"/>
            </w:pPr>
            <w:r>
              <w:rPr>
                <w:rFonts w:hint="eastAsia"/>
              </w:rPr>
              <w:t xml:space="preserve">消滅しないミラー指数条件</w:t>
            </w:r>
          </w:p>
        </w:tc>
        <w:tc>
          <w:tcPr/>
          <w:p>
            <w:pPr>
              <w:pStyle w:val="Compact"/>
              <w:jc w:val="left"/>
            </w:pPr>
            <w:r>
              <w:rPr>
                <w:rFonts w:hint="eastAsia"/>
              </w:rPr>
              <w:t xml:space="preserve">逆格子</w:t>
            </w:r>
          </w:p>
        </w:tc>
      </w:tr>
      <w:tr>
        <w:tc>
          <w:tcPr/>
          <w:p>
            <w:pPr>
              <w:pStyle w:val="Compact"/>
              <w:jc w:val="left"/>
            </w:pPr>
            <w:r>
              <w:rPr>
                <w:rFonts w:hint="eastAsia"/>
                <w:b/>
                <w:bCs/>
              </w:rPr>
              <w:t xml:space="preserve">体心立方格子</w:t>
            </w:r>
            <w:r>
              <w:rPr>
                <w:b/>
                <w:bCs/>
              </w:rPr>
              <w:t xml:space="preserve"> (BCC)</w:t>
            </w:r>
          </w:p>
        </w:tc>
        <w:tc>
          <w:tcPr/>
          <w:p>
            <w:pPr>
              <w:pStyle w:val="Compact"/>
              <w:jc w:val="left"/>
            </w:pPr>
            <m:oMath>
              <m:r>
                <m:t>h</m:t>
              </m:r>
              <m:r>
                <m:rPr>
                  <m:sty m:val="p"/>
                </m:rPr>
                <m:t>+</m:t>
              </m:r>
              <m:r>
                <m:t>k</m:t>
              </m:r>
              <m:r>
                <m:rPr>
                  <m:sty m:val="p"/>
                </m:rPr>
                <m:t>+</m:t>
              </m:r>
              <m:r>
                <m:t>l</m:t>
              </m:r>
              <m:r>
                <m:rPr>
                  <m:sty m:val="p"/>
                </m:rPr>
                <m:t>=</m:t>
              </m:r>
              <m:r>
                <m:rPr>
                  <m:nor/>
                  <m:sty m:val="p"/>
                </m:rPr>
                <m:t>偶数</m:t>
              </m:r>
            </m:oMath>
          </w:p>
        </w:tc>
        <w:tc>
          <w:tcPr/>
          <w:p>
            <w:pPr>
              <w:pStyle w:val="Compact"/>
              <w:jc w:val="left"/>
            </w:pPr>
            <w:r>
              <w:rPr>
                <w:rFonts w:hint="eastAsia"/>
                <w:b/>
                <w:bCs/>
              </w:rPr>
              <w:t xml:space="preserve">面心立方格子</w:t>
            </w:r>
            <w:r>
              <w:rPr>
                <w:b/>
                <w:bCs/>
              </w:rPr>
              <w:t xml:space="preserve"> (FCC)</w:t>
            </w:r>
          </w:p>
        </w:tc>
      </w:tr>
      <w:tr>
        <w:tc>
          <w:tcPr/>
          <w:p>
            <w:pPr>
              <w:pStyle w:val="Compact"/>
              <w:jc w:val="left"/>
            </w:pPr>
            <w:r>
              <w:rPr>
                <w:rFonts w:hint="eastAsia"/>
                <w:b/>
                <w:bCs/>
              </w:rPr>
              <w:t xml:space="preserve">面心立方格子</w:t>
            </w:r>
            <w:r>
              <w:rPr>
                <w:b/>
                <w:bCs/>
              </w:rPr>
              <w:t xml:space="preserve"> (FCC)</w:t>
            </w:r>
          </w:p>
        </w:tc>
        <w:tc>
          <w:tcPr/>
          <w:p>
            <w:pPr>
              <w:pStyle w:val="Compact"/>
              <w:jc w:val="left"/>
            </w:pPr>
            <m:oMath>
              <m:r>
                <m:t>h</m:t>
              </m:r>
              <m:r>
                <m:rPr>
                  <m:sty m:val="p"/>
                </m:rPr>
                <m:t>,</m:t>
              </m:r>
              <m:r>
                <m:t>k</m:t>
              </m:r>
              <m:r>
                <m:rPr>
                  <m:sty m:val="p"/>
                </m:rPr>
                <m:t>,</m:t>
              </m:r>
              <m:r>
                <m:t>l</m:t>
              </m:r>
            </m:oMath>
            <w:r>
              <w:t xml:space="preserve"> </w:t>
            </w:r>
            <w:r>
              <w:rPr>
                <w:rFonts w:hint="eastAsia"/>
              </w:rPr>
              <w:t xml:space="preserve">がすべて偶数、またはすべて奇数</w:t>
            </w:r>
          </w:p>
        </w:tc>
        <w:tc>
          <w:tcPr/>
          <w:p>
            <w:pPr>
              <w:pStyle w:val="Compact"/>
              <w:jc w:val="left"/>
            </w:pPr>
            <w:r>
              <w:rPr>
                <w:rFonts w:hint="eastAsia"/>
                <w:b/>
                <w:bCs/>
              </w:rPr>
              <w:t xml:space="preserve">体心立方格子</w:t>
            </w:r>
            <w:r>
              <w:rPr>
                <w:b/>
                <w:bCs/>
              </w:rPr>
              <w:t xml:space="preserve"> (BCC)</w:t>
            </w:r>
          </w:p>
        </w:tc>
      </w:tr>
      <w:tr>
        <w:tc>
          <w:tcPr/>
          <w:p>
            <w:pPr>
              <w:pStyle w:val="Compact"/>
              <w:jc w:val="left"/>
            </w:pPr>
            <w:r>
              <w:rPr>
                <w:rFonts w:hint="eastAsia"/>
                <w:b/>
                <w:bCs/>
              </w:rPr>
              <w:t xml:space="preserve">単純格子</w:t>
            </w:r>
            <w:r>
              <w:rPr>
                <w:b/>
                <w:bCs/>
              </w:rPr>
              <w:t xml:space="preserve"> (P)</w:t>
            </w:r>
          </w:p>
        </w:tc>
        <w:tc>
          <w:tcPr/>
          <w:p>
            <w:pPr>
              <w:pStyle w:val="Compact"/>
              <w:jc w:val="left"/>
            </w:pPr>
            <w:r>
              <w:t xml:space="preserve">すべての</w:t>
            </w:r>
            <w:r>
              <w:t xml:space="preserve"> </w:t>
            </w:r>
            <m:oMath>
              <m:r>
                <m:rPr>
                  <m:sty m:val="p"/>
                </m:rPr>
                <m:t>(</m:t>
              </m:r>
              <m:r>
                <m:t>h</m:t>
              </m:r>
              <m:r>
                <m:t>k</m:t>
              </m:r>
              <m:r>
                <m:t>l</m:t>
              </m:r>
              <m:r>
                <m:rPr>
                  <m:sty m:val="p"/>
                </m:rPr>
                <m:t>)</m:t>
              </m:r>
            </m:oMath>
          </w:p>
        </w:tc>
        <w:tc>
          <w:tcPr/>
          <w:p>
            <w:pPr>
              <w:pStyle w:val="Compact"/>
              <w:jc w:val="left"/>
            </w:pPr>
            <w:r>
              <w:rPr>
                <w:rFonts w:hint="eastAsia"/>
                <w:b/>
                <w:bCs/>
              </w:rPr>
              <w:t xml:space="preserve">単純格子</w:t>
            </w:r>
            <w:r>
              <w:rPr>
                <w:b/>
                <w:bCs/>
              </w:rPr>
              <w:t xml:space="preserve"> (P)</w:t>
            </w:r>
          </w:p>
        </w:tc>
      </w:tr>
      <w:tr>
        <w:tc>
          <w:tcPr/>
          <w:p>
            <w:pPr>
              <w:pStyle w:val="Compact"/>
              <w:jc w:val="left"/>
            </w:pPr>
            <w:r>
              <w:rPr>
                <w:rFonts w:hint="eastAsia"/>
                <w:b/>
                <w:bCs/>
              </w:rPr>
              <w:t xml:space="preserve">底心格子</w:t>
            </w:r>
            <w:r>
              <w:rPr>
                <w:b/>
                <w:bCs/>
              </w:rPr>
              <w:t xml:space="preserve"> (A, B, C)</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底心格子</w:t>
            </w:r>
            <w:r>
              <w:rPr>
                <w:b/>
                <w:bCs/>
              </w:rPr>
              <w:t xml:space="preserve"> (A, B, C)</w:t>
            </w:r>
          </w:p>
        </w:tc>
      </w:tr>
      <w:tr>
        <w:tc>
          <w:tcPr/>
          <w:p>
            <w:pPr>
              <w:pStyle w:val="Compact"/>
              <w:jc w:val="left"/>
            </w:pPr>
            <w:r>
              <w:rPr>
                <w:rFonts w:hint="eastAsia"/>
                <w:b/>
                <w:bCs/>
              </w:rPr>
              <w:t xml:space="preserve">六方格子</w:t>
            </w:r>
            <w:r>
              <w:rPr>
                <w:b/>
                <w:bCs/>
              </w:rPr>
              <w:t xml:space="preserve"> (H)</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六方格子</w:t>
            </w:r>
            <w:r>
              <w:rPr>
                <w:b/>
                <w:bCs/>
              </w:rPr>
              <w:t xml:space="preserve"> (H)</w:t>
            </w:r>
          </w:p>
        </w:tc>
      </w:tr>
      <w:tr>
        <w:tc>
          <w:tcPr/>
          <w:p>
            <w:pPr>
              <w:pStyle w:val="Compact"/>
              <w:jc w:val="left"/>
            </w:pPr>
            <w:r>
              <w:rPr>
                <w:rFonts w:hint="eastAsia"/>
                <w:b/>
                <w:bCs/>
              </w:rPr>
              <w:t xml:space="preserve">菱面体格子</w:t>
            </w:r>
            <w:r>
              <w:rPr>
                <w:b/>
                <w:bCs/>
              </w:rPr>
              <w:t xml:space="preserve"> (R)</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菱面体格子</w:t>
            </w:r>
            <w:r>
              <w:rPr>
                <w:b/>
                <w:bCs/>
              </w:rPr>
              <w:t xml:space="preserve"> (R)</w:t>
            </w:r>
          </w:p>
        </w:tc>
      </w:tr>
    </w:tbl>
    <w:p>
      <w:pPr>
        <w:pStyle w:val="BodyText"/>
      </w:pPr>
      <w:r>
        <w:rPr>
          <w:rFonts w:hint="eastAsia"/>
          <w:b/>
          <w:bCs/>
        </w:rPr>
        <w:t xml:space="preserve">例：体心立方格子</w:t>
      </w:r>
      <w:r>
        <w:rPr>
          <w:b/>
          <w:bCs/>
        </w:rPr>
        <w:t xml:space="preserve"> (BCC)</w:t>
      </w:r>
      <w:r>
        <w:t xml:space="preserve"> </w:t>
      </w:r>
      <w:r>
        <w:rPr>
          <w:rFonts w:hint="eastAsia"/>
        </w:rPr>
        <w:t xml:space="preserve">体心立方格子は、単位胞の頂点と体心に原子を持ちます。その格子点の座標は</w:t>
      </w:r>
      <w:r>
        <w:t xml:space="preserve"> </w:t>
      </w:r>
      <m:oMath>
        <m:r>
          <m:rPr>
            <m:sty m:val="p"/>
          </m:rPr>
          <m:t>(</m:t>
        </m:r>
        <m:r>
          <m:t>0</m:t>
        </m:r>
        <m:r>
          <m:rPr>
            <m:sty m:val="p"/>
          </m:rPr>
          <m:t>,</m:t>
        </m:r>
        <m:r>
          <m:t>0</m:t>
        </m:r>
        <m:r>
          <m:rPr>
            <m:sty m:val="p"/>
          </m:rPr>
          <m:t>,</m:t>
        </m:r>
        <m:r>
          <m:t>0</m:t>
        </m:r>
        <m:r>
          <m:rPr>
            <m:sty m:val="p"/>
          </m:rPr>
          <m:t>)</m:t>
        </m:r>
      </m:oMath>
      <w:r>
        <w:t xml:space="preserve"> </w:t>
      </w:r>
      <w:r>
        <w:t xml:space="preserve">と</w:t>
      </w:r>
      <w:r>
        <w:t xml:space="preserve"> </w:t>
      </w:r>
      <m:oMath>
        <m:r>
          <m:rPr>
            <m:sty m:val="p"/>
          </m:rPr>
          <m:t>(</m:t>
        </m:r>
        <m:r>
          <m:t>1</m:t>
        </m:r>
        <m:r>
          <m:rPr>
            <m:sty m:val="p"/>
          </m:rPr>
          <m:t>/</m:t>
        </m:r>
        <m:r>
          <m:t>2</m:t>
        </m:r>
        <m:r>
          <m:rPr>
            <m:sty m:val="p"/>
          </m:rPr>
          <m:t>,</m:t>
        </m:r>
        <m:r>
          <m:t>1</m:t>
        </m:r>
        <m:r>
          <m:rPr>
            <m:sty m:val="p"/>
          </m:rPr>
          <m:t>/</m:t>
        </m:r>
        <m:r>
          <m:t>2</m:t>
        </m:r>
        <m:r>
          <m:rPr>
            <m:sty m:val="p"/>
          </m:rPr>
          <m:t>,</m:t>
        </m:r>
        <m:r>
          <m:t>1</m:t>
        </m:r>
        <m:r>
          <m:rPr>
            <m:sty m:val="p"/>
          </m:rPr>
          <m:t>/</m:t>
        </m:r>
        <m:r>
          <m:t>2</m:t>
        </m:r>
        <m:r>
          <m:rPr>
            <m:sty m:val="p"/>
          </m:rPr>
          <m:t>)</m:t>
        </m:r>
      </m:oMath>
      <w:r>
        <w:t xml:space="preserve"> </w:t>
      </w:r>
      <w:r>
        <w:rPr>
          <w:rFonts w:hint="eastAsia"/>
        </w:rPr>
        <w:t xml:space="preserve">です。このBCCの実格子に対する消滅則は、</w:t>
      </w:r>
      <m:oMath>
        <m:r>
          <m:t>h</m:t>
        </m:r>
        <m:r>
          <m:rPr>
            <m:sty m:val="p"/>
          </m:rPr>
          <m:t>+</m:t>
        </m:r>
        <m:r>
          <m:t>k</m:t>
        </m:r>
        <m:r>
          <m:rPr>
            <m:sty m:val="p"/>
          </m:rPr>
          <m:t>+</m:t>
        </m:r>
        <m:r>
          <m:t>l</m:t>
        </m:r>
      </m:oMath>
      <w:r>
        <w:t xml:space="preserve"> </w:t>
      </w:r>
      <w:r>
        <w:rPr>
          <w:rFonts w:hint="eastAsia"/>
        </w:rPr>
        <w:t xml:space="preserve">が偶数の場合にのみ回折が観測されるというものです。この条件を満たすミラー指数</w:t>
      </w:r>
      <w:r>
        <w:t xml:space="preserve"> </w:t>
      </w:r>
      <m:oMath>
        <m:r>
          <m:rPr>
            <m:sty m:val="p"/>
          </m:rPr>
          <m:t>(</m:t>
        </m:r>
        <m:r>
          <m:t>h</m:t>
        </m:r>
        <m:r>
          <m:t>k</m:t>
        </m:r>
        <m:r>
          <m:t>l</m:t>
        </m:r>
        <m:r>
          <m:rPr>
            <m:sty m:val="p"/>
          </m:rPr>
          <m:t>)</m:t>
        </m:r>
      </m:oMath>
      <w:r>
        <w:t xml:space="preserve"> </w:t>
      </w:r>
      <w:r>
        <w:rPr>
          <w:rFonts w:hint="eastAsia"/>
        </w:rPr>
        <w:t xml:space="preserve">の逆格子点をプロットすると、これは面心立方格子（FCC）の配置に対応します。したがって、体心立方格子の逆格子は面心立方格子となります。</w:t>
      </w:r>
    </w:p>
    <w:p>
      <w:pPr>
        <w:pStyle w:val="BodyText"/>
      </w:pPr>
      <w:r>
        <w:rPr>
          <w:rFonts w:hint="eastAsia"/>
          <w:b/>
          <w:bCs/>
        </w:rPr>
        <w:t xml:space="preserve">例：面心立方格子</w:t>
      </w:r>
      <w:r>
        <w:rPr>
          <w:b/>
          <w:bCs/>
        </w:rPr>
        <w:t xml:space="preserve"> (FCC)</w:t>
      </w:r>
      <w:r>
        <w:t xml:space="preserve"> </w:t>
      </w:r>
      <w:r>
        <w:rPr>
          <w:rFonts w:hint="eastAsia"/>
        </w:rPr>
        <w:t xml:space="preserve">面心立方格子は、単位胞の頂点とすべての面の中心に原子を持ちます。その格子点の座標は</w:t>
      </w:r>
      <w:r>
        <w:t xml:space="preserve"> </w:t>
      </w:r>
      <m:oMath>
        <m:r>
          <m:rPr>
            <m:sty m:val="p"/>
          </m:rPr>
          <m:t>(</m:t>
        </m:r>
        <m:r>
          <m:t>0</m:t>
        </m:r>
        <m:r>
          <m:rPr>
            <m:sty m:val="p"/>
          </m:rPr>
          <m:t>,</m:t>
        </m:r>
        <m:r>
          <m:t>0</m:t>
        </m:r>
        <m:r>
          <m:rPr>
            <m:sty m:val="p"/>
          </m:rPr>
          <m:t>,</m:t>
        </m:r>
        <m:r>
          <m:t>0</m:t>
        </m:r>
        <m:r>
          <m:rPr>
            <m:sty m:val="p"/>
          </m:rPr>
          <m:t>)</m:t>
        </m:r>
      </m:oMath>
      <w:r>
        <w:t xml:space="preserve">,</w:t>
      </w:r>
      <w:r>
        <w:t xml:space="preserve"> </w:t>
      </w:r>
      <m:oMath>
        <m:r>
          <m:rPr>
            <m:sty m:val="p"/>
          </m:rPr>
          <m:t>(</m:t>
        </m:r>
        <m:r>
          <m:t>0</m:t>
        </m:r>
        <m:r>
          <m:rPr>
            <m:sty m:val="p"/>
          </m:rPr>
          <m:t>,</m:t>
        </m:r>
        <m:r>
          <m:t>1</m:t>
        </m:r>
        <m:r>
          <m:rPr>
            <m:sty m:val="p"/>
          </m:rPr>
          <m:t>/</m:t>
        </m:r>
        <m:r>
          <m:t>2</m:t>
        </m:r>
        <m:r>
          <m:rPr>
            <m:sty m:val="p"/>
          </m:rPr>
          <m:t>,</m:t>
        </m:r>
        <m:r>
          <m:t>1</m:t>
        </m:r>
        <m:r>
          <m:rPr>
            <m:sty m:val="p"/>
          </m:rPr>
          <m:t>/</m:t>
        </m:r>
        <m:r>
          <m:t>2</m:t>
        </m:r>
        <m:r>
          <m:rPr>
            <m:sty m:val="p"/>
          </m:rPr>
          <m:t>)</m:t>
        </m:r>
      </m:oMath>
      <w:r>
        <w:t xml:space="preserve">,</w:t>
      </w:r>
      <w:r>
        <w:t xml:space="preserve"> </w:t>
      </w:r>
      <m:oMath>
        <m:r>
          <m:rPr>
            <m:sty m:val="p"/>
          </m:rPr>
          <m:t>(</m:t>
        </m:r>
        <m:r>
          <m:t>1</m:t>
        </m:r>
        <m:r>
          <m:rPr>
            <m:sty m:val="p"/>
          </m:rPr>
          <m:t>/</m:t>
        </m:r>
        <m:r>
          <m:t>2</m:t>
        </m:r>
        <m:r>
          <m:rPr>
            <m:sty m:val="p"/>
          </m:rPr>
          <m:t>,</m:t>
        </m:r>
        <m:r>
          <m:t>0</m:t>
        </m:r>
        <m:r>
          <m:rPr>
            <m:sty m:val="p"/>
          </m:rPr>
          <m:t>,</m:t>
        </m:r>
        <m:r>
          <m:t>1</m:t>
        </m:r>
        <m:r>
          <m:rPr>
            <m:sty m:val="p"/>
          </m:rPr>
          <m:t>/</m:t>
        </m:r>
        <m:r>
          <m:t>2</m:t>
        </m:r>
        <m:r>
          <m:rPr>
            <m:sty m:val="p"/>
          </m:rPr>
          <m:t>)</m:t>
        </m:r>
      </m:oMath>
      <w:r>
        <w:t xml:space="preserve">,</w:t>
      </w:r>
      <w:r>
        <w:t xml:space="preserve"> </w:t>
      </w:r>
      <m:oMath>
        <m:r>
          <m:rPr>
            <m:sty m:val="p"/>
          </m:rPr>
          <m:t>(</m:t>
        </m:r>
        <m:r>
          <m:t>1</m:t>
        </m:r>
        <m:r>
          <m:rPr>
            <m:sty m:val="p"/>
          </m:rPr>
          <m:t>/</m:t>
        </m:r>
        <m:r>
          <m:t>2</m:t>
        </m:r>
        <m:r>
          <m:rPr>
            <m:sty m:val="p"/>
          </m:rPr>
          <m:t>,</m:t>
        </m:r>
        <m:r>
          <m:t>1</m:t>
        </m:r>
        <m:r>
          <m:rPr>
            <m:sty m:val="p"/>
          </m:rPr>
          <m:t>/</m:t>
        </m:r>
        <m:r>
          <m:t>2</m:t>
        </m:r>
        <m:r>
          <m:rPr>
            <m:sty m:val="p"/>
          </m:rPr>
          <m:t>,</m:t>
        </m:r>
        <m:r>
          <m:t>0</m:t>
        </m:r>
        <m:r>
          <m:rPr>
            <m:sty m:val="p"/>
          </m:rPr>
          <m:t>)</m:t>
        </m:r>
      </m:oMath>
      <w:r>
        <w:t xml:space="preserve"> </w:t>
      </w:r>
      <w:r>
        <w:rPr>
          <w:rFonts w:hint="eastAsia"/>
        </w:rPr>
        <w:t xml:space="preserve">です。このFCCの実格子に対する消滅則は、</w:t>
      </w:r>
      <m:oMath>
        <m:r>
          <m:t>h</m:t>
        </m:r>
        <m:r>
          <m:rPr>
            <m:sty m:val="p"/>
          </m:rPr>
          <m:t>,</m:t>
        </m:r>
        <m:r>
          <m:t>k</m:t>
        </m:r>
        <m:r>
          <m:rPr>
            <m:sty m:val="p"/>
          </m:rPr>
          <m:t>,</m:t>
        </m:r>
        <m:r>
          <m:t>l</m:t>
        </m:r>
      </m:oMath>
      <w:r>
        <w:t xml:space="preserve"> </w:t>
      </w:r>
      <w:r>
        <w:rPr>
          <w:rFonts w:hint="eastAsia"/>
        </w:rPr>
        <w:t xml:space="preserve">がすべて奇数であるか、またはすべて偶数である場合にのみ回折が観測されるというものです。この条件を満たすミラー指数</w:t>
      </w:r>
      <w:r>
        <w:t xml:space="preserve"> </w:t>
      </w:r>
      <m:oMath>
        <m:r>
          <m:rPr>
            <m:sty m:val="p"/>
          </m:rPr>
          <m:t>(</m:t>
        </m:r>
        <m:r>
          <m:t>h</m:t>
        </m:r>
        <m:r>
          <m:t>k</m:t>
        </m:r>
        <m:r>
          <m:t>l</m:t>
        </m:r>
        <m:r>
          <m:rPr>
            <m:sty m:val="p"/>
          </m:rPr>
          <m:t>)</m:t>
        </m:r>
      </m:oMath>
      <w:r>
        <w:t xml:space="preserve"> </w:t>
      </w:r>
      <w:r>
        <w:rPr>
          <w:rFonts w:hint="eastAsia"/>
        </w:rPr>
        <w:t xml:space="preserve">の逆格子点をプロットすると、これは体心立方格子（BCC）の配置に対応します。したがって、面心立方格子の逆格子は体心立方格子となります。</w:t>
      </w:r>
    </w:p>
    <w:p>
      <w:pPr>
        <w:pStyle w:val="BodyText"/>
      </w:pPr>
      <w:r>
        <w:rPr>
          <w:rFonts w:hint="eastAsia"/>
        </w:rPr>
        <w:t xml:space="preserve">このように、実格子と逆格子のBravais格子タイプの間には、美しい双対関係が存在します。</w:t>
      </w:r>
    </w:p>
    <w:p>
      <w:pPr>
        <w:pStyle w:val="Compact"/>
        <w:numPr>
          <w:ilvl w:val="0"/>
          <w:numId w:val="1004"/>
        </w:numPr>
      </w:pPr>
      <w:r>
        <w:rPr>
          <w:rFonts w:hint="eastAsia"/>
        </w:rPr>
        <w:t xml:space="preserve">スライド10の図1：</w:t>
      </w:r>
      <w:r>
        <w:rPr>
          <w:rStyle w:val="VerbatimChar"/>
        </w:rPr>
        <w:t xml:space="preserve">images\slide10_image1.png</w:t>
      </w:r>
      <w:r>
        <w:t xml:space="preserve"> </w:t>
      </w:r>
      <w:r>
        <w:rPr>
          <w:rFonts w:hint="eastAsia"/>
        </w:rPr>
        <w:t xml:space="preserve">には、菱面体晶の単位胞とそれに対応する逆格子の単位胞が赤線で示されています。</w:t>
      </w:r>
      <w:r>
        <w:rPr>
          <w:rStyle w:val="VerbatimChar"/>
        </w:rPr>
        <w:t xml:space="preserve">crystal_draw_cell.py</w:t>
      </w:r>
      <w:r>
        <w:t xml:space="preserve"> </w:t>
      </w:r>
      <w:r>
        <w:rPr>
          <w:rFonts w:hint="eastAsia"/>
        </w:rPr>
        <w:t xml:space="preserve">のようなプログラムを利用することで、これらの関係を可視化し、理解を深めることができます。</w:t>
      </w:r>
    </w:p>
    <w:bookmarkEnd w:id="13"/>
    <w:bookmarkEnd w:id="14"/>
    <w:bookmarkStart w:id="21" w:name="共変ベクトルと反変ベクトル"/>
    <w:p>
      <w:pPr>
        <w:pStyle w:val="Heading2"/>
      </w:pPr>
      <w:r>
        <w:t xml:space="preserve">2. </w:t>
      </w:r>
      <w:r>
        <w:rPr>
          <w:rFonts w:hint="eastAsia"/>
        </w:rPr>
        <w:t xml:space="preserve">共変ベクトルと反変ベクトル</w:t>
      </w:r>
    </w:p>
    <w:bookmarkStart w:id="15" w:name="ベクトルの変換則と共変反変の定義"/>
    <w:p>
      <w:pPr>
        <w:pStyle w:val="Heading3"/>
      </w:pPr>
      <w:r>
        <w:t xml:space="preserve">2.1 </w:t>
      </w:r>
      <w:r>
        <w:rPr>
          <w:rFonts w:hint="eastAsia"/>
        </w:rPr>
        <w:t xml:space="preserve">ベクトルの変換則と共変・反変の定義</w:t>
      </w:r>
    </w:p>
    <w:p>
      <w:pPr>
        <w:pStyle w:val="FirstParagraph"/>
      </w:pPr>
      <w:r>
        <w:rPr>
          <w:rFonts w:hint="eastAsia"/>
        </w:rPr>
        <w:t xml:space="preserve">実格子と逆格子の関係をより深く理解するためには、共変（covariant）ベクトルと反変（contravariant）ベクトルという概念が非常に有用です。これらの概念は、一般座標変換の下でのベクトルの振る舞いを記述するもので、相対性理論をはじめとする物理学の広範な分野で使われています。</w:t>
      </w:r>
    </w:p>
    <w:p>
      <w:pPr>
        <w:pStyle w:val="BodyText"/>
      </w:pPr>
      <w:r>
        <w:rPr>
          <w:rFonts w:hint="eastAsia"/>
        </w:rPr>
        <w:t xml:space="preserve">まず、一般座標系でのベクトルの変換則を復習しましょう。ここでは、ある基底</w:t>
      </w:r>
      <w:r>
        <w:t xml:space="preserve"> </w:t>
      </w:r>
      <m:oMath>
        <m:sSub>
          <m:e>
            <m:r>
              <m:rPr>
                <m:sty m:val="b"/>
              </m:rPr>
              <m:t>a</m:t>
            </m:r>
          </m:e>
          <m:sub>
            <m:r>
              <m:t>i</m:t>
            </m:r>
          </m:sub>
        </m:sSub>
      </m:oMath>
      <w:r>
        <w:t xml:space="preserve"> </w:t>
      </w:r>
      <w:r>
        <w:rPr>
          <w:rFonts w:hint="eastAsia"/>
        </w:rPr>
        <w:t xml:space="preserve">から別の基底</w:t>
      </w:r>
      <w:r>
        <w:t xml:space="preserve"> </w:t>
      </w:r>
      <m:oMath>
        <m:sSub>
          <m:e>
            <m:sSup>
              <m:e>
                <m:r>
                  <m:rPr>
                    <m:sty m:val="b"/>
                  </m:rPr>
                  <m:t>a</m:t>
                </m:r>
              </m:e>
              <m:sup>
                <m:r>
                  <m:rPr>
                    <m:sty m:val="p"/>
                  </m:rPr>
                  <m:t>′</m:t>
                </m:r>
              </m:sup>
            </m:sSup>
          </m:e>
          <m:sub>
            <m:r>
              <m:t>i</m:t>
            </m:r>
          </m:sub>
        </m:sSub>
      </m:oMath>
      <w:r>
        <w:t xml:space="preserve"> </w:t>
      </w:r>
      <w:r>
        <w:rPr>
          <w:rFonts w:hint="eastAsia"/>
        </w:rPr>
        <w:t xml:space="preserve">への変換を考えます。</w:t>
      </w:r>
    </w:p>
    <w:p>
      <w:pPr>
        <w:pStyle w:val="BodyText"/>
      </w:pPr>
      <w:r>
        <w:rPr>
          <w:rFonts w:hint="eastAsia"/>
          <w:b/>
          <w:bCs/>
        </w:rPr>
        <w:t xml:space="preserve">実格子ベクトルの変換</w:t>
      </w:r>
      <w:r>
        <w:t xml:space="preserve"> </w:t>
      </w: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が変換行列</w:t>
      </w:r>
      <w:r>
        <w:t xml:space="preserve"> </w:t>
      </w:r>
      <m:oMath>
        <m:r>
          <m:t>T</m:t>
        </m:r>
        <m:r>
          <m:rPr>
            <m:sty m:val="p"/>
          </m:rPr>
          <m:t>=</m:t>
        </m:r>
        <m:r>
          <m:rPr>
            <m:sty m:val="p"/>
          </m:rPr>
          <m:t>(</m:t>
        </m:r>
        <m:sSub>
          <m:e>
            <m:r>
              <m:t>t</m:t>
            </m:r>
          </m:e>
          <m:sub>
            <m:r>
              <m:t>i</m:t>
            </m:r>
            <m:r>
              <m:t>j</m:t>
            </m:r>
          </m:sub>
        </m:sSub>
        <m:r>
          <m:rPr>
            <m:sty m:val="p"/>
          </m:rPr>
          <m:t>)</m:t>
        </m:r>
      </m:oMath>
      <w:r>
        <w:t xml:space="preserve"> </w:t>
      </w:r>
      <w:r>
        <w:rPr>
          <w:rFonts w:hint="eastAsia"/>
        </w:rPr>
        <w:t xml:space="preserve">によって変換されるとします。</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m:oMathPara>
        <m:oMathParaPr>
          <m:jc m:val="center"/>
        </m:oMathParaPr>
        <m:oMath>
          <m:sSub>
            <m:e>
              <m:r>
                <m:rPr>
                  <m:sty m:val="b"/>
                </m:rPr>
                <m:t>a</m:t>
              </m:r>
            </m:e>
            <m:sub>
              <m:r>
                <m:t>i</m:t>
              </m:r>
            </m:sub>
          </m:sSub>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i</m:t>
              </m:r>
              <m:r>
                <m:t>j</m:t>
              </m:r>
            </m:sub>
          </m:sSub>
          <m:sSub>
            <m:e>
              <m:sSup>
                <m:e>
                  <m:r>
                    <m:rPr>
                      <m:sty m:val="b"/>
                    </m:rPr>
                    <m:t>a</m:t>
                  </m:r>
                </m:e>
                <m:sup>
                  <m:r>
                    <m:rPr>
                      <m:sty m:val="p"/>
                    </m:rPr>
                    <m:t>′</m:t>
                  </m:r>
                </m:sup>
              </m:sSup>
            </m:e>
            <m:sub>
              <m:r>
                <m:t>j</m:t>
              </m:r>
            </m:sub>
          </m:sSub>
        </m:oMath>
      </m:oMathPara>
    </w:p>
    <w:p>
      <w:pPr>
        <w:pStyle w:val="FirstParagraph"/>
      </w:pPr>
      <w:r>
        <w:rPr>
          <w:rFonts w:hint="eastAsia"/>
        </w:rPr>
        <w:t xml:space="preserve">スライド12の図1：</w:t>
      </w:r>
      <w:r>
        <w:rPr>
          <w:rStyle w:val="VerbatimChar"/>
        </w:rPr>
        <w:t xml:space="preserve">images\slide12_image1.png</w:t>
      </w:r>
    </w:p>
    <w:p>
      <w:pPr>
        <w:pStyle w:val="BodyText"/>
      </w:pPr>
      <w:r>
        <w:rPr>
          <w:rFonts w:hint="eastAsia"/>
          <w:b/>
          <w:bCs/>
        </w:rPr>
        <w:t xml:space="preserve">実格子座標の変換</w:t>
      </w:r>
      <w:r>
        <w:t xml:space="preserve"> </w:t>
      </w:r>
      <w:r>
        <w:rPr>
          <w:rFonts w:hint="eastAsia"/>
        </w:rPr>
        <w:t xml:space="preserve">位置ベクトル</w:t>
      </w:r>
      <w:r>
        <w:t xml:space="preserve"> </w:t>
      </w:r>
      <m:oMath>
        <m:r>
          <m:rPr>
            <m:sty m:val="b"/>
          </m:rPr>
          <m:t>r</m:t>
        </m:r>
      </m:oMath>
      <w:r>
        <w:t xml:space="preserve"> </w:t>
      </w:r>
      <w:r>
        <w:t xml:space="preserve">は</w:t>
      </w:r>
      <w:r>
        <w:t xml:space="preserve"> </w:t>
      </w: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w:r>
        <w:t xml:space="preserve"> </w:t>
      </w:r>
      <w:r>
        <w:rPr>
          <w:rFonts w:hint="eastAsia"/>
        </w:rPr>
        <w:t xml:space="preserve">と書けます。ここで、</w:t>
      </w:r>
      <m:oMath>
        <m:sSup>
          <m:e>
            <m:r>
              <m:t>x</m:t>
            </m:r>
          </m:e>
          <m:sup>
            <m:r>
              <m:t>i</m:t>
            </m:r>
          </m:sup>
        </m:sSup>
      </m:oMath>
      <w:r>
        <w:t xml:space="preserve"> </w:t>
      </w:r>
      <w:r>
        <w:rPr>
          <w:rFonts w:hint="eastAsia"/>
        </w:rPr>
        <w:t xml:space="preserve">は座標成分（反変成分）です。基底ベクトルの変換則から、座標成分の変換則は以下のようになります。</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pStyle w:val="FirstParagraph"/>
      </w:pPr>
      <m:oMathPara>
        <m:oMathParaPr>
          <m:jc m:val="center"/>
        </m:oMathParaPr>
        <m:oMath>
          <m:sSup>
            <m:e>
              <m:r>
                <m:t>x</m:t>
              </m:r>
            </m:e>
            <m:sup>
              <m:r>
                <m:t>i</m:t>
              </m:r>
            </m:sup>
          </m:sSup>
          <m:r>
            <m:rPr>
              <m:sty m:val="p"/>
            </m:rPr>
            <m:t>=</m:t>
          </m:r>
          <m:nary>
            <m:naryPr>
              <m:chr m:val="∑"/>
              <m:limLoc m:val="undOvr"/>
              <m:subHide m:val="off"/>
              <m:supHide m:val="on"/>
            </m:naryPr>
            <m:sub>
              <m:r>
                <m:t>j</m:t>
              </m:r>
            </m:sub>
            <m:sup>
              <m:r>
                <m:t>​</m:t>
              </m:r>
            </m:sup>
            <m:e>
              <m:sSub>
                <m:e>
                  <m:r>
                    <m:t>T</m:t>
                  </m:r>
                </m:e>
                <m:sub>
                  <m:r>
                    <m:t>j</m:t>
                  </m:r>
                  <m:r>
                    <m:t>i</m:t>
                  </m:r>
                </m:sub>
              </m:sSub>
            </m:e>
          </m:nary>
          <m:sSup>
            <m:e>
              <m:sSup>
                <m:e>
                  <m:r>
                    <m:t>x</m:t>
                  </m:r>
                </m:e>
                <m:sup>
                  <m:r>
                    <m:rPr>
                      <m:sty m:val="p"/>
                    </m:rPr>
                    <m:t>′</m:t>
                  </m:r>
                </m:sup>
              </m:sSup>
            </m:e>
            <m:sup>
              <m:r>
                <m:t>j</m:t>
              </m:r>
            </m:sup>
          </m:sSup>
        </m:oMath>
      </m:oMathPara>
    </w:p>
    <w:p>
      <w:pPr>
        <w:pStyle w:val="FirstParagraph"/>
      </w:pPr>
      <w:r>
        <w:rPr>
          <w:rFonts w:hint="eastAsia"/>
        </w:rPr>
        <w:t xml:space="preserve">スライド12の図2：</w:t>
      </w:r>
      <w:r>
        <w:rPr>
          <w:rStyle w:val="VerbatimChar"/>
        </w:rPr>
        <w:t xml:space="preserve">images\slide12_image2.png</w:t>
      </w:r>
    </w:p>
    <w:p>
      <w:pPr>
        <w:pStyle w:val="BodyText"/>
      </w:pPr>
      <w:r>
        <w:rPr>
          <w:rFonts w:hint="eastAsia"/>
          <w:b/>
          <w:bCs/>
        </w:rPr>
        <w:t xml:space="preserve">逆格子ベクトルの変換</w:t>
      </w:r>
      <w:r>
        <w:t xml:space="preserve"> </w:t>
      </w:r>
      <w:r>
        <w:rPr>
          <w:rFonts w:hint="eastAsia"/>
        </w:rPr>
        <w:t xml:space="preserve">逆格子の基本ベクトル</w:t>
      </w:r>
      <w:r>
        <w:t xml:space="preserve"> </w:t>
      </w:r>
      <m:oMath>
        <m:sSup>
          <m:e>
            <m:r>
              <m:rPr>
                <m:sty m:val="b"/>
              </m:rPr>
              <m:t>a</m:t>
            </m:r>
          </m:e>
          <m:sup>
            <m:r>
              <m:rPr>
                <m:sty m:val="p"/>
              </m:rPr>
              <m:t>*</m:t>
            </m:r>
            <m:r>
              <m:t>i</m:t>
            </m:r>
          </m:sup>
        </m:sSup>
      </m:oMath>
      <w:r>
        <w:t xml:space="preserve"> </w:t>
      </w:r>
      <w:r>
        <w:rPr>
          <w:rFonts w:hint="eastAsia"/>
        </w:rPr>
        <w:t xml:space="preserve">は、実格子の基本ベクトルとは異なる変換則に従います。</w:t>
      </w:r>
    </w:p>
    <w:p>
      <w:pPr>
        <w:pStyle w:val="BodyText"/>
      </w:pPr>
      <m:oMathPara>
        <m:oMathParaPr>
          <m:jc m:val="center"/>
        </m:oMathParaPr>
        <m:oMath>
          <m:sSup>
            <m:e>
              <m:r>
                <m:rPr>
                  <m:sty m:val="b"/>
                </m:rPr>
                <m:t>a</m:t>
              </m:r>
            </m:e>
            <m:sup>
              <m:r>
                <m:rPr>
                  <m:sty m:val="p"/>
                </m:rPr>
                <m:t>′</m:t>
              </m:r>
              <m:r>
                <m:rPr>
                  <m:sty m:val="p"/>
                </m:rPr>
                <m:t>*</m:t>
              </m:r>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rPr>
                  <m:sty m:val="b"/>
                </m:rPr>
                <m:t>a</m:t>
              </m:r>
            </m:e>
            <m:sup>
              <m:r>
                <m:rPr>
                  <m:sty m:val="p"/>
                </m:rPr>
                <m:t>*</m:t>
              </m:r>
              <m:r>
                <m:t>j</m:t>
              </m:r>
            </m:sup>
          </m:sSup>
        </m:oMath>
      </m:oMathPara>
    </w:p>
    <w:p>
      <w:pPr>
        <w:pStyle w:val="FirstParagraph"/>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b>
                <m:e>
                  <m:r>
                    <m:t>T</m:t>
                  </m:r>
                </m:e>
                <m:sub>
                  <m:r>
                    <m:t>j</m:t>
                  </m:r>
                  <m:r>
                    <m:t>i</m:t>
                  </m:r>
                </m:sub>
              </m:sSub>
            </m:e>
          </m:nary>
          <m:sSup>
            <m:e>
              <m:r>
                <m:rPr>
                  <m:sty m:val="b"/>
                </m:rPr>
                <m:t>a</m:t>
              </m:r>
            </m:e>
            <m:sup>
              <m:r>
                <m:rPr>
                  <m:sty m:val="p"/>
                </m:rPr>
                <m:t>′</m:t>
              </m:r>
              <m:r>
                <m:rPr>
                  <m:sty m:val="p"/>
                </m:rPr>
                <m:t>*</m:t>
              </m:r>
              <m:r>
                <m:t>j</m:t>
              </m:r>
            </m:sup>
          </m:sSup>
        </m:oMath>
      </m:oMathPara>
    </w:p>
    <w:p>
      <w:pPr>
        <w:pStyle w:val="FirstParagraph"/>
      </w:pPr>
      <w:r>
        <w:rPr>
          <w:rFonts w:hint="eastAsia"/>
          <w:b/>
          <w:bCs/>
        </w:rPr>
        <w:t xml:space="preserve">指数（逆格子座標）の変換</w:t>
      </w:r>
      <w:r>
        <w:t xml:space="preserve"> </w:t>
      </w:r>
      <w:r>
        <w:rPr>
          <w:rFonts w:hint="eastAsia"/>
        </w:rPr>
        <w:t xml:space="preserve">逆格子空間での座標成分、すなわちミラー指数</w:t>
      </w:r>
      <w:r>
        <w:t xml:space="preserve"> </w:t>
      </w:r>
      <m:oMath>
        <m:sSub>
          <m:e>
            <m:r>
              <m:t>h</m:t>
            </m:r>
          </m:e>
          <m:sub>
            <m:r>
              <m:t>i</m:t>
            </m:r>
          </m:sub>
        </m:sSub>
      </m:oMath>
      <w:r>
        <w:t xml:space="preserve"> </w:t>
      </w:r>
      <w:r>
        <w:rPr>
          <w:rFonts w:hint="eastAsia"/>
        </w:rPr>
        <w:t xml:space="preserve">は、実格子の基本ベクトルと同じ変換則に従います。</w:t>
      </w:r>
    </w:p>
    <w:p>
      <w:pPr>
        <w:pStyle w:val="BodyText"/>
      </w:pPr>
      <m:oMathPara>
        <m:oMathParaPr>
          <m:jc m:val="center"/>
        </m:oMathParaPr>
        <m:oMath>
          <m:sSub>
            <m:e>
              <m:sSup>
                <m:e>
                  <m:r>
                    <m:t>h</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t>h</m:t>
              </m:r>
            </m:e>
            <m:sub>
              <m:r>
                <m:t>j</m:t>
              </m:r>
            </m:sub>
          </m:sSub>
        </m:oMath>
      </m:oMathPara>
    </w:p>
    <w:p>
      <w:pPr>
        <w:pStyle w:val="FirstParagraph"/>
      </w:pPr>
      <m:oMathPara>
        <m:oMathParaPr>
          <m:jc m:val="center"/>
        </m:oMathParaPr>
        <m:oMath>
          <m:sSub>
            <m:e>
              <m:r>
                <m:t>h</m:t>
              </m:r>
            </m:e>
            <m:sub>
              <m:r>
                <m:t>i</m:t>
              </m:r>
            </m:sub>
          </m:sSub>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i</m:t>
              </m:r>
              <m:r>
                <m:t>j</m:t>
              </m:r>
            </m:sub>
          </m:sSub>
          <m:sSub>
            <m:e>
              <m:sSup>
                <m:e>
                  <m:r>
                    <m:t>h</m:t>
                  </m:r>
                </m:e>
                <m:sup>
                  <m:r>
                    <m:rPr>
                      <m:sty m:val="p"/>
                    </m:rPr>
                    <m:t>′</m:t>
                  </m:r>
                </m:sup>
              </m:sSup>
            </m:e>
            <m:sub>
              <m:r>
                <m:t>j</m:t>
              </m:r>
            </m:sub>
          </m:sSub>
        </m:oMath>
      </m:oMathPara>
    </w:p>
    <w:p>
      <w:pPr>
        <w:pStyle w:val="FirstParagraph"/>
      </w:pPr>
      <w:r>
        <w:rPr>
          <w:rFonts w:hint="eastAsia"/>
        </w:rPr>
        <w:t xml:space="preserve">これらの変換則をまとめると、ベクトルの種類によって変換行列が</w:t>
      </w:r>
      <w:r>
        <w:t xml:space="preserve"> </w:t>
      </w:r>
      <m:oMath>
        <m:r>
          <m:t>T</m:t>
        </m:r>
      </m:oMath>
      <w:r>
        <w:t xml:space="preserve"> </w:t>
      </w:r>
      <w:r>
        <w:t xml:space="preserve">と</w:t>
      </w:r>
      <w:r>
        <w:t xml:space="preserve"> </w:t>
      </w:r>
      <m:oMath>
        <m:sSup>
          <m:e>
            <m:r>
              <m:t>T</m:t>
            </m:r>
          </m:e>
          <m:sup>
            <m:r>
              <m:t>t</m:t>
            </m:r>
          </m:sup>
        </m:sSup>
        <m:sSup>
          <m:e>
            <m:r>
              <m:t>​</m:t>
            </m:r>
          </m:e>
          <m:sup>
            <m:r>
              <m:rPr>
                <m:sty m:val="p"/>
              </m:rPr>
              <m:t>−</m:t>
            </m:r>
            <m:r>
              <m:t>1</m:t>
            </m:r>
          </m:sup>
        </m:sSup>
      </m:oMath>
      <w:r>
        <w:t xml:space="preserve"> </w:t>
      </w:r>
      <w:r>
        <w:rPr>
          <w:rFonts w:hint="eastAsia"/>
        </w:rPr>
        <w:t xml:space="preserve">(転置の逆行列)</w:t>
      </w:r>
      <w:r>
        <w:t xml:space="preserve"> </w:t>
      </w:r>
      <w:r>
        <w:rPr>
          <w:rFonts w:hint="eastAsia"/>
        </w:rPr>
        <w:t xml:space="preserve">の2種類に分類できることがわかります。</w:t>
      </w:r>
    </w:p>
    <w:p>
      <w:pPr>
        <w:pStyle w:val="Compact"/>
        <w:numPr>
          <w:ilvl w:val="0"/>
          <w:numId w:val="1005"/>
        </w:numPr>
      </w:pPr>
      <w:r>
        <w:rPr>
          <w:rFonts w:hint="eastAsia"/>
          <w:b/>
          <w:bCs/>
        </w:rPr>
        <w:t xml:space="preserve">共変ベクトル（Covariant</w:t>
      </w:r>
      <w:r>
        <w:rPr>
          <w:b/>
          <w:bCs/>
        </w:rPr>
        <w:t xml:space="preserve"> </w:t>
      </w:r>
      <w:r>
        <w:rPr>
          <w:rFonts w:hint="eastAsia"/>
          <w:b/>
          <w:bCs/>
        </w:rPr>
        <w:t xml:space="preserve">Vector）</w:t>
      </w:r>
      <w:r>
        <w:t xml:space="preserve">: </w:t>
      </w:r>
      <w:r>
        <w:rPr>
          <w:rFonts w:hint="eastAsia"/>
        </w:rPr>
        <w:t xml:space="preserve">変換行列</w:t>
      </w:r>
      <w:r>
        <w:t xml:space="preserve"> </w:t>
      </w:r>
      <m:oMath>
        <m:r>
          <m:t>T</m:t>
        </m:r>
      </m:oMath>
      <w:r>
        <w:t xml:space="preserve"> </w:t>
      </w:r>
      <w:r>
        <w:rPr>
          <w:rFonts w:hint="eastAsia"/>
        </w:rPr>
        <w:t xml:space="preserve">を使って変換されるもの。実格子の基本ベクトル</w:t>
      </w:r>
      <w:r>
        <w:t xml:space="preserve"> </w:t>
      </w:r>
      <m:oMath>
        <m:sSub>
          <m:e>
            <m:r>
              <m:rPr>
                <m:sty m:val="b"/>
              </m:rPr>
              <m:t>a</m:t>
            </m:r>
          </m:e>
          <m:sub>
            <m:r>
              <m:t>i</m:t>
            </m:r>
          </m:sub>
        </m:sSub>
      </m:oMath>
      <w:r>
        <w:t xml:space="preserve"> </w:t>
      </w:r>
      <w:r>
        <w:rPr>
          <w:rFonts w:hint="eastAsia"/>
        </w:rPr>
        <w:t xml:space="preserve">や逆格子の座標（ミラー指数</w:t>
      </w:r>
      <w:r>
        <w:t xml:space="preserve"> </w:t>
      </w:r>
      <m:oMath>
        <m:sSub>
          <m:e>
            <m:r>
              <m:t>h</m:t>
            </m:r>
          </m:e>
          <m:sub>
            <m:r>
              <m:t>i</m:t>
            </m:r>
          </m:sub>
        </m:sSub>
      </m:oMath>
      <w:r>
        <w:rPr>
          <w:rFonts w:hint="eastAsia"/>
        </w:rPr>
        <w:t xml:space="preserve">）がこれに該当します。</w:t>
      </w:r>
    </w:p>
    <w:p>
      <w:pPr>
        <w:pStyle w:val="Compact"/>
        <w:numPr>
          <w:ilvl w:val="0"/>
          <w:numId w:val="1005"/>
        </w:numPr>
      </w:pPr>
      <w:r>
        <w:rPr>
          <w:rFonts w:hint="eastAsia"/>
          <w:b/>
          <w:bCs/>
        </w:rPr>
        <w:t xml:space="preserve">反変ベクトル（Contravariant</w:t>
      </w:r>
      <w:r>
        <w:rPr>
          <w:b/>
          <w:bCs/>
        </w:rPr>
        <w:t xml:space="preserve"> </w:t>
      </w:r>
      <w:r>
        <w:rPr>
          <w:rFonts w:hint="eastAsia"/>
          <w:b/>
          <w:bCs/>
        </w:rPr>
        <w:t xml:space="preserve">Vector）</w:t>
      </w:r>
      <w:r>
        <w:t xml:space="preserve">: </w:t>
      </w:r>
      <w:r>
        <w:rPr>
          <w:rFonts w:hint="eastAsia"/>
        </w:rPr>
        <w:t xml:space="preserve">変換行列</w:t>
      </w:r>
      <w:r>
        <w:t xml:space="preserve"> </w:t>
      </w:r>
      <m:oMath>
        <m:sSup>
          <m:e>
            <m:r>
              <m:t>T</m:t>
            </m:r>
          </m:e>
          <m:sup>
            <m:r>
              <m:t>t</m:t>
            </m:r>
          </m:sup>
        </m:sSup>
        <m:sSup>
          <m:e>
            <m:r>
              <m:t>​</m:t>
            </m:r>
          </m:e>
          <m:sup>
            <m:r>
              <m:rPr>
                <m:sty m:val="p"/>
              </m:rPr>
              <m:t>−</m:t>
            </m:r>
            <m:r>
              <m:t>1</m:t>
            </m:r>
          </m:sup>
        </m:sSup>
      </m:oMath>
      <w:r>
        <w:t xml:space="preserve"> </w:t>
      </w:r>
      <w:r>
        <w:rPr>
          <w:rFonts w:hint="eastAsia"/>
        </w:rPr>
        <w:t xml:space="preserve">を使って変換されるもの。実格子の座標</w:t>
      </w:r>
      <w:r>
        <w:t xml:space="preserve"> </w:t>
      </w:r>
      <m:oMath>
        <m:sSup>
          <m:e>
            <m:r>
              <m:t>x</m:t>
            </m:r>
          </m:e>
          <m:sup>
            <m:r>
              <m:t>i</m:t>
            </m:r>
          </m:sup>
        </m:sSup>
      </m:oMath>
      <w:r>
        <w:t xml:space="preserve"> </w:t>
      </w:r>
      <w:r>
        <w:rPr>
          <w:rFonts w:hint="eastAsia"/>
        </w:rPr>
        <w:t xml:space="preserve">や逆格子の基本ベクトル</w:t>
      </w:r>
      <w:r>
        <w:t xml:space="preserve"> </w:t>
      </w:r>
      <m:oMath>
        <m:sSup>
          <m:e>
            <m:r>
              <m:rPr>
                <m:sty m:val="b"/>
              </m:rPr>
              <m:t>a</m:t>
            </m:r>
          </m:e>
          <m:sup>
            <m:r>
              <m:rPr>
                <m:sty m:val="p"/>
              </m:rPr>
              <m:t>*</m:t>
            </m:r>
            <m:r>
              <m:t>i</m:t>
            </m:r>
          </m:sup>
        </m:sSup>
      </m:oMath>
      <w:r>
        <w:t xml:space="preserve"> </w:t>
      </w:r>
      <w:r>
        <w:rPr>
          <w:rFonts w:hint="eastAsia"/>
        </w:rPr>
        <w:t xml:space="preserve">がこれに該当します。</w:t>
      </w:r>
    </w:p>
    <w:p>
      <w:pPr>
        <w:pStyle w:val="FirstParagraph"/>
      </w:pPr>
      <w:r>
        <w:rPr>
          <w:rFonts w:hint="eastAsia"/>
        </w:rPr>
        <w:t xml:space="preserve">「共変」とは、基底と同じ方向に「共に変じる」という意味合い、「反変」とは基底とは「反対に変じる」という意味合いを持つと考えると理解しやすいかもしれません。</w:t>
      </w:r>
    </w:p>
    <w:bookmarkEnd w:id="15"/>
    <w:bookmarkStart w:id="16" w:name="計量テンソル"/>
    <w:p>
      <w:pPr>
        <w:pStyle w:val="Heading3"/>
      </w:pPr>
      <w:r>
        <w:t xml:space="preserve">2.2 </w:t>
      </w:r>
      <w:r>
        <w:rPr>
          <w:rFonts w:hint="eastAsia"/>
        </w:rPr>
        <w:t xml:space="preserve">計量テンソル</w:t>
      </w:r>
    </w:p>
    <w:p>
      <w:pPr>
        <w:pStyle w:val="FirstParagraph"/>
      </w:pPr>
      <w:r>
        <w:rPr>
          <w:rFonts w:hint="eastAsia"/>
        </w:rPr>
        <w:t xml:space="preserve">結晶学では、基底ベクトルが互いに直交しない「斜交座標系」を扱うことが多いため、ベクトルの内積や長さの計算には「計量テンソル（Metric</w:t>
      </w:r>
      <w:r>
        <w:t xml:space="preserve"> </w:t>
      </w:r>
      <w:r>
        <w:rPr>
          <w:rFonts w:hint="eastAsia"/>
        </w:rPr>
        <w:t xml:space="preserve">Tensor）」が必要となります。</w:t>
      </w:r>
    </w:p>
    <w:p>
      <w:pPr>
        <w:pStyle w:val="BodyText"/>
      </w:pPr>
      <w:r>
        <w:rPr>
          <w:rFonts w:hint="eastAsia"/>
          <w:b/>
          <w:bCs/>
        </w:rPr>
        <w:t xml:space="preserve">実格子の計量テンソル</w:t>
      </w:r>
      <w:r>
        <w:t xml:space="preserve"> </w:t>
      </w:r>
      <w:r>
        <w:rPr>
          <w:rFonts w:hint="eastAsia"/>
        </w:rPr>
        <w:t xml:space="preserve">実格子の計量テンソル</w:t>
      </w:r>
      <w:r>
        <w:t xml:space="preserve"> </w:t>
      </w:r>
      <m:oMath>
        <m:sSub>
          <m:e>
            <m:r>
              <m:t>g</m:t>
            </m:r>
          </m:e>
          <m:sub>
            <m:r>
              <m:t>i</m:t>
            </m:r>
            <m:r>
              <m:t>j</m:t>
            </m:r>
          </m:sub>
        </m:sSub>
      </m:oMath>
      <w:r>
        <w:t xml:space="preserve"> </w:t>
      </w:r>
      <w:r>
        <w:rPr>
          <w:rFonts w:hint="eastAsia"/>
        </w:rPr>
        <w:t xml:space="preserve">は、実格子の基本ベクトル</w:t>
      </w:r>
      <w:r>
        <w:t xml:space="preserve"> </w:t>
      </w:r>
      <m:oMath>
        <m:sSub>
          <m:e>
            <m:r>
              <m:rPr>
                <m:sty m:val="b"/>
              </m:rPr>
              <m:t>a</m:t>
            </m:r>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この計量テンソルが座標変換の下でどのように振る舞うかを見てみましょう。</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rPr>
          <w:rFonts w:hint="eastAsia"/>
        </w:rPr>
        <w:t xml:space="preserve">を代入すると、</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sSub>
            <m:e>
              <m:r>
                <m:t>g</m:t>
              </m:r>
            </m:e>
            <m:sub>
              <m:r>
                <m:t>k</m:t>
              </m:r>
              <m:r>
                <m:t>l</m:t>
              </m:r>
            </m:sub>
          </m:sSub>
        </m:oMath>
      </m:oMathPara>
    </w:p>
    <w:p>
      <w:pPr>
        <w:pStyle w:val="FirstParagraph"/>
      </w:pPr>
      <w:r>
        <w:rPr>
          <w:rFonts w:hint="eastAsia"/>
        </w:rPr>
        <w:t xml:space="preserve">この変換則は、計量テンソル</w:t>
      </w:r>
      <w:r>
        <w:t xml:space="preserve"> </w:t>
      </w:r>
      <m:oMath>
        <m:sSub>
          <m:e>
            <m:r>
              <m:t>g</m:t>
            </m:r>
          </m:e>
          <m:sub>
            <m:r>
              <m:t>i</m:t>
            </m:r>
            <m:r>
              <m:t>j</m:t>
            </m:r>
          </m:sub>
        </m:sSub>
      </m:oMath>
      <w:r>
        <w:t xml:space="preserve"> </w:t>
      </w:r>
      <w:r>
        <w:rPr>
          <w:rFonts w:hint="eastAsia"/>
        </w:rPr>
        <w:t xml:space="preserve">が共変ベクトルの変換則</w:t>
      </w:r>
      <w:r>
        <w:t xml:space="preserve"> </w:t>
      </w:r>
      <m:oMath>
        <m:r>
          <m:t>T</m:t>
        </m:r>
      </m:oMath>
      <w:r>
        <w:t xml:space="preserve"> </w:t>
      </w:r>
      <w:r>
        <w:rPr>
          <w:rFonts w:hint="eastAsia"/>
        </w:rPr>
        <w:t xml:space="preserve">を2回使って変換されることを示しています。したがって、</w:t>
      </w:r>
      <m:oMath>
        <m:sSub>
          <m:e>
            <m:r>
              <m:t>g</m:t>
            </m:r>
          </m:e>
          <m:sub>
            <m:r>
              <m:t>i</m:t>
            </m:r>
            <m:r>
              <m:t>j</m:t>
            </m:r>
          </m:sub>
        </m:sSub>
      </m:oMath>
      <w:r>
        <w:t xml:space="preserve"> </w:t>
      </w:r>
      <w:r>
        <w:rPr>
          <w:rFonts w:hint="eastAsia"/>
        </w:rPr>
        <w:t xml:space="preserve">は「2階共変テンソル」であると言えます。</w:t>
      </w:r>
    </w:p>
    <w:p>
      <w:pPr>
        <w:pStyle w:val="BodyText"/>
      </w:pPr>
      <w:r>
        <w:rPr>
          <w:rFonts w:hint="eastAsia"/>
          <w:b/>
          <w:bCs/>
        </w:rPr>
        <w:t xml:space="preserve">逆格子の計量テンソル</w:t>
      </w:r>
      <w:r>
        <w:t xml:space="preserve"> </w:t>
      </w:r>
      <w:r>
        <w:rPr>
          <w:rFonts w:hint="eastAsia"/>
        </w:rPr>
        <w:t xml:space="preserve">同様に、逆格子の計量テンソル</w:t>
      </w:r>
      <w:r>
        <w:t xml:space="preserve"> </w:t>
      </w:r>
      <m:oMath>
        <m:sSup>
          <m:e>
            <m:r>
              <m:t>g</m:t>
            </m:r>
          </m:e>
          <m:sup>
            <m:r>
              <m:t>i</m:t>
            </m:r>
            <m:r>
              <m:t>j</m:t>
            </m:r>
          </m:sup>
        </m:sSup>
      </m:oMath>
      <w:r>
        <w:t xml:space="preserve"> </w:t>
      </w:r>
      <w:r>
        <w:rPr>
          <w:rFonts w:hint="eastAsia"/>
        </w:rPr>
        <w:t xml:space="preserve">（しばしば</w:t>
      </w:r>
      <w:r>
        <w:t xml:space="preserve"> </w:t>
      </w:r>
      <m:oMath>
        <m:r>
          <m:t>R</m:t>
        </m:r>
        <m:sSub>
          <m:e>
            <m:r>
              <m:t>g</m:t>
            </m:r>
          </m:e>
          <m:sub>
            <m:r>
              <m:t>i</m:t>
            </m:r>
            <m:r>
              <m:t>j</m:t>
            </m:r>
          </m:sub>
        </m:sSub>
      </m:oMath>
      <w:r>
        <w:t xml:space="preserve"> </w:t>
      </w:r>
      <w:r>
        <w:rPr>
          <w:rFonts w:hint="eastAsia"/>
        </w:rPr>
        <w:t xml:space="preserve">と表記されますが、添え字の位置で区別できるため</w:t>
      </w:r>
      <w:r>
        <w:t xml:space="preserve"> </w:t>
      </w:r>
      <m:oMath>
        <m:sSup>
          <m:e>
            <m:r>
              <m:t>g</m:t>
            </m:r>
          </m:e>
          <m:sup>
            <m:r>
              <m:t>i</m:t>
            </m:r>
            <m:r>
              <m:t>j</m:t>
            </m:r>
          </m:sup>
        </m:sSup>
      </m:oMath>
      <w:r>
        <w:t xml:space="preserve"> </w:t>
      </w:r>
      <w:r>
        <w:rPr>
          <w:rFonts w:hint="eastAsia"/>
        </w:rPr>
        <w:t xml:space="preserve">で統一します）は、逆格子の基本ベクトル</w:t>
      </w:r>
      <w:r>
        <w:t xml:space="preserve"> </w:t>
      </w:r>
      <m:oMath>
        <m:sSup>
          <m:e>
            <m:r>
              <m:rPr>
                <m:sty m:val="b"/>
              </m:rPr>
              <m:t>a</m:t>
            </m:r>
          </m:e>
          <m:sup>
            <m:r>
              <m:rPr>
                <m:sty m:val="p"/>
              </m:rPr>
              <m:t>*</m:t>
            </m:r>
            <m:r>
              <m:t>i</m:t>
            </m:r>
          </m:sup>
        </m:sSup>
      </m:oMath>
      <w:r>
        <w:t xml:space="preserve"> </w:t>
      </w:r>
      <w:r>
        <w:t xml:space="preserve">と</w:t>
      </w:r>
      <w:r>
        <w:t xml:space="preserve"> </w:t>
      </w:r>
      <m:oMath>
        <m:sSup>
          <m:e>
            <m:r>
              <m:rPr>
                <m:sty m:val="b"/>
              </m:rPr>
              <m:t>a</m:t>
            </m:r>
          </m:e>
          <m:sup>
            <m:r>
              <m:rPr>
                <m:sty m:val="p"/>
              </m:rPr>
              <m:t>*</m:t>
            </m:r>
            <m:r>
              <m:t>j</m:t>
            </m:r>
          </m:sup>
        </m:sSup>
      </m:oMath>
      <w:r>
        <w:t xml:space="preserve"> </w:t>
      </w:r>
      <w:r>
        <w:rPr>
          <w:rFonts w:hint="eastAsia"/>
        </w:rPr>
        <w:t xml:space="preserve">の内積として定義されます。</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この計量テンソルが座標変換の下でどのように振る舞うかを見てみましょう。</w:t>
      </w:r>
      <m:oMath>
        <m:sSup>
          <m:e>
            <m:r>
              <m:rPr>
                <m:sty m:val="b"/>
              </m:rPr>
              <m:t>a</m:t>
            </m:r>
          </m:e>
          <m:sup>
            <m:r>
              <m:rPr>
                <m:sty m:val="p"/>
              </m:rPr>
              <m:t>′</m:t>
            </m:r>
            <m:r>
              <m:rPr>
                <m:sty m:val="p"/>
              </m:rPr>
              <m:t>*</m:t>
            </m:r>
            <m:r>
              <m:t>i</m:t>
            </m:r>
          </m:sup>
        </m:sSup>
        <m:r>
          <m:rPr>
            <m:sty m:val="p"/>
          </m:rPr>
          <m:t>=</m:t>
        </m:r>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p>
          <m:e>
            <m:r>
              <m:rPr>
                <m:sty m:val="b"/>
              </m:rPr>
              <m:t>a</m:t>
            </m:r>
          </m:e>
          <m:sup>
            <m:r>
              <m:rPr>
                <m:sty m:val="p"/>
              </m:rPr>
              <m:t>*</m:t>
            </m:r>
            <m:r>
              <m:t>k</m:t>
            </m:r>
          </m:sup>
        </m:sSup>
      </m:oMath>
      <w:r>
        <w:t xml:space="preserve"> </w:t>
      </w:r>
      <w:r>
        <w:rPr>
          <w:rFonts w:hint="eastAsia"/>
        </w:rPr>
        <w:t xml:space="preserve">を代入すると、</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r>
                <m:rPr>
                  <m:sty m:val="p"/>
                </m:rPr>
                <m:t>′</m:t>
              </m:r>
              <m:r>
                <m:rPr>
                  <m:sty m:val="p"/>
                </m:rPr>
                <m:t>*</m:t>
              </m:r>
              <m:r>
                <m:t>i</m:t>
              </m:r>
            </m:sup>
          </m:sSup>
          <m:r>
            <m:rPr>
              <m:sty m:val="p"/>
            </m:rPr>
            <m:t>⋅</m:t>
          </m:r>
          <m:sSup>
            <m:e>
              <m:r>
                <m:rPr>
                  <m:sty m:val="b"/>
                </m:rPr>
                <m:t>a</m:t>
              </m:r>
            </m:e>
            <m:sup>
              <m:r>
                <m:rPr>
                  <m:sty m:val="p"/>
                </m:rPr>
                <m:t>′</m:t>
              </m:r>
              <m:r>
                <m:rPr>
                  <m:sty m:val="p"/>
                </m:rPr>
                <m:t>*</m:t>
              </m:r>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p>
                <m:e>
                  <m:r>
                    <m:rPr>
                      <m:sty m:val="b"/>
                    </m:rPr>
                    <m:t>a</m:t>
                  </m:r>
                </m:e>
                <m:sup>
                  <m:r>
                    <m:rPr>
                      <m:sty m:val="p"/>
                    </m:rPr>
                    <m:t>*</m:t>
                  </m:r>
                  <m:r>
                    <m:t>k</m:t>
                  </m:r>
                </m:sup>
              </m:sSup>
            </m:e>
          </m:d>
          <m:r>
            <m:rPr>
              <m:sty m:val="p"/>
            </m:rPr>
            <m:t>⋅</m:t>
          </m:r>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j</m:t>
                  </m:r>
                </m:sub>
              </m:sSub>
              <m:sSup>
                <m:e>
                  <m:r>
                    <m:rPr>
                      <m:sty m:val="b"/>
                    </m:rPr>
                    <m:t>a</m:t>
                  </m:r>
                </m:e>
                <m:sup>
                  <m:r>
                    <m:rPr>
                      <m:sty m:val="p"/>
                    </m:rPr>
                    <m:t>*</m:t>
                  </m:r>
                  <m:r>
                    <m:t>l</m:t>
                  </m:r>
                </m:sup>
              </m:sSup>
            </m:e>
          </m:d>
          <m:r>
            <m:rPr>
              <m:sty m:val="p"/>
            </m:rPr>
            <m:t>=</m:t>
          </m:r>
          <m:nary>
            <m:naryPr>
              <m:chr m:val="∑"/>
              <m:limLoc m:val="undOvr"/>
              <m:subHide m:val="off"/>
              <m:supHide m:val="on"/>
            </m:naryPr>
            <m:sub>
              <m:r>
                <m:t>k</m:t>
              </m:r>
              <m:r>
                <m:rPr>
                  <m:sty m:val="p"/>
                </m:rPr>
                <m:t>,</m:t>
              </m:r>
              <m:r>
                <m:t>l</m:t>
              </m:r>
            </m:sub>
            <m:sup>
              <m:r>
                <m:t>​</m:t>
              </m:r>
            </m:sup>
            <m:e>
              <m:r>
                <m:rPr>
                  <m:sty m:val="p"/>
                </m:rPr>
                <m:t>(</m:t>
              </m:r>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r>
            <m:rPr>
              <m:sty m:val="p"/>
            </m:rPr>
            <m:t>(</m:t>
          </m:r>
          <m:sSup>
            <m:e>
              <m:r>
                <m:rPr>
                  <m:sty m:val="b"/>
                </m:rPr>
                <m:t>a</m:t>
              </m:r>
            </m:e>
            <m:sup>
              <m:r>
                <m:rPr>
                  <m:sty m:val="p"/>
                </m:rPr>
                <m:t>*</m:t>
              </m:r>
              <m:r>
                <m:t>k</m:t>
              </m:r>
            </m:sup>
          </m:sSup>
          <m:r>
            <m:rPr>
              <m:sty m:val="p"/>
            </m:rPr>
            <m:t>⋅</m:t>
          </m:r>
          <m:sSup>
            <m:e>
              <m:r>
                <m:rPr>
                  <m:sty m:val="b"/>
                </m:rPr>
                <m:t>a</m:t>
              </m:r>
            </m:e>
            <m:sup>
              <m:r>
                <m:rPr>
                  <m:sty m:val="p"/>
                </m:rPr>
                <m:t>*</m:t>
              </m:r>
              <m:r>
                <m:t>l</m:t>
              </m:r>
            </m:sup>
          </m:sSup>
          <m:r>
            <m:rPr>
              <m:sty m:val="p"/>
            </m:rPr>
            <m:t>)</m:t>
          </m:r>
          <m:r>
            <m:rPr>
              <m:sty m:val="p"/>
            </m:rPr>
            <m:t>=</m:t>
          </m:r>
          <m:nary>
            <m:naryPr>
              <m:chr m:val="∑"/>
              <m:limLoc m:val="undOvr"/>
              <m:subHide m:val="off"/>
              <m:supHide m:val="on"/>
            </m:naryPr>
            <m:sub>
              <m:r>
                <m:t>k</m:t>
              </m:r>
              <m:r>
                <m:rPr>
                  <m:sty m:val="p"/>
                </m:rPr>
                <m:t>,</m:t>
              </m:r>
              <m:r>
                <m:t>l</m:t>
              </m:r>
            </m:sub>
            <m:sup>
              <m:r>
                <m:t>​</m:t>
              </m:r>
            </m:sup>
            <m:e>
              <m:r>
                <m:rPr>
                  <m:sty m:val="p"/>
                </m:rPr>
                <m:t>(</m:t>
              </m:r>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sSup>
            <m:e>
              <m:r>
                <m:t>g</m:t>
              </m:r>
            </m:e>
            <m:sup>
              <m:r>
                <m:t>k</m:t>
              </m:r>
              <m:r>
                <m:t>l</m:t>
              </m:r>
            </m:sup>
          </m:sSup>
        </m:oMath>
      </m:oMathPara>
    </w:p>
    <w:p>
      <w:pPr>
        <w:pStyle w:val="FirstParagraph"/>
      </w:pPr>
      <w:r>
        <w:rPr>
          <w:rFonts w:hint="eastAsia"/>
        </w:rPr>
        <w:t xml:space="preserve">この変換則は、計量テンソル</w:t>
      </w:r>
      <w:r>
        <w:t xml:space="preserve"> </w:t>
      </w:r>
      <m:oMath>
        <m:sSup>
          <m:e>
            <m:r>
              <m:t>g</m:t>
            </m:r>
          </m:e>
          <m:sup>
            <m:r>
              <m:t>i</m:t>
            </m:r>
            <m:r>
              <m:t>j</m:t>
            </m:r>
          </m:sup>
        </m:sSup>
      </m:oMath>
      <w:r>
        <w:t xml:space="preserve"> </w:t>
      </w:r>
      <w:r>
        <w:rPr>
          <w:rFonts w:hint="eastAsia"/>
        </w:rPr>
        <w:t xml:space="preserve">が反変ベクトルの変換則</w:t>
      </w:r>
      <w:r>
        <w:t xml:space="preserve"> </w:t>
      </w:r>
      <m:oMath>
        <m:sSup>
          <m:e>
            <m:r>
              <m:t>T</m:t>
            </m:r>
          </m:e>
          <m:sup>
            <m:r>
              <m:t>t</m:t>
            </m:r>
          </m:sup>
        </m:sSup>
        <m:sSup>
          <m:e>
            <m:r>
              <m:t>​</m:t>
            </m:r>
          </m:e>
          <m:sup>
            <m:r>
              <m:rPr>
                <m:sty m:val="p"/>
              </m:rPr>
              <m:t>−</m:t>
            </m:r>
            <m:r>
              <m:t>1</m:t>
            </m:r>
          </m:sup>
        </m:sSup>
      </m:oMath>
      <w:r>
        <w:t xml:space="preserve"> </w:t>
      </w:r>
      <w:r>
        <w:rPr>
          <w:rFonts w:hint="eastAsia"/>
        </w:rPr>
        <w:t xml:space="preserve">を2回使って変換されることを示しています。したがって、</w:t>
      </w:r>
      <m:oMath>
        <m:sSup>
          <m:e>
            <m:r>
              <m:t>g</m:t>
            </m:r>
          </m:e>
          <m:sup>
            <m:r>
              <m:t>i</m:t>
            </m:r>
            <m:r>
              <m:t>j</m:t>
            </m:r>
          </m:sup>
        </m:sSup>
      </m:oMath>
      <w:r>
        <w:t xml:space="preserve"> </w:t>
      </w:r>
      <w:r>
        <w:rPr>
          <w:rFonts w:hint="eastAsia"/>
        </w:rPr>
        <w:t xml:space="preserve">は「2階反変テンソル」であると言えます。</w:t>
      </w:r>
    </w:p>
    <w:bookmarkEnd w:id="16"/>
    <w:bookmarkStart w:id="17" w:name="逆格子変換と計量テンソル"/>
    <w:p>
      <w:pPr>
        <w:pStyle w:val="Heading3"/>
      </w:pPr>
      <w:r>
        <w:t xml:space="preserve">2.3 </w:t>
      </w:r>
      <w:r>
        <w:rPr>
          <w:rFonts w:hint="eastAsia"/>
        </w:rPr>
        <w:t xml:space="preserve">逆格子変換と計量テンソル</w:t>
      </w:r>
    </w:p>
    <w:p>
      <w:pPr>
        <w:pStyle w:val="FirstParagraph"/>
      </w:pPr>
      <w:r>
        <w:rPr>
          <w:rFonts w:hint="eastAsia"/>
        </w:rPr>
        <w:t xml:space="preserve">実格子から逆格子への変換は、この計量テンソルと密接に関連しています。</w:t>
      </w:r>
    </w:p>
    <w:p>
      <w:pPr>
        <w:pStyle w:val="BodyText"/>
      </w:pPr>
      <w:r>
        <w:rPr>
          <w:rFonts w:hint="eastAsia"/>
          <w:b/>
          <w:bCs/>
        </w:rPr>
        <w:t xml:space="preserve">一般座標系（実格子）から一般座標系（逆格子）への変換</w:t>
      </w:r>
    </w:p>
    <w:p>
      <w:pPr>
        <w:pStyle w:val="BodyText"/>
      </w:pP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を逆格子の基本ベクトル</w:t>
      </w:r>
      <w:r>
        <w:t xml:space="preserve"> </w:t>
      </w:r>
      <m:oMath>
        <m:sSup>
          <m:e>
            <m:r>
              <m:rPr>
                <m:sty m:val="b"/>
              </m:rPr>
              <m:t>a</m:t>
            </m:r>
          </m:e>
          <m:sup>
            <m:r>
              <m:rPr>
                <m:sty m:val="p"/>
              </m:rPr>
              <m:t>*</m:t>
            </m:r>
            <m:r>
              <m:t>j</m:t>
            </m:r>
          </m:sup>
        </m:sSup>
      </m:oMath>
      <w:r>
        <w:t xml:space="preserve"> </w:t>
      </w:r>
      <w:r>
        <w:rPr>
          <w:rFonts w:hint="eastAsia"/>
        </w:rPr>
        <w:t xml:space="preserve">に変換する行列はどのような形になるでしょうか。</w:t>
      </w:r>
      <w:r>
        <w:t xml:space="preserve"> </w:t>
      </w:r>
      <w:r>
        <w:rPr>
          <w:rFonts w:hint="eastAsia"/>
        </w:rPr>
        <w:t xml:space="preserve">逆格子の定義</w:t>
      </w:r>
      <w:r>
        <w:t xml:space="preserve"> </w:t>
      </w:r>
      <m:oMath>
        <m:sSup>
          <m:e>
            <m:r>
              <m:rPr>
                <m:sty m:val="b"/>
              </m:rPr>
              <m:t>a</m:t>
            </m:r>
          </m:e>
          <m:sup>
            <m:r>
              <m:rPr>
                <m:sty m:val="p"/>
              </m:rPr>
              <m:t>*</m:t>
            </m:r>
            <m:r>
              <m:t>i</m:t>
            </m:r>
          </m:sup>
        </m:sSup>
        <m:r>
          <m:rPr>
            <m:sty m:val="p"/>
          </m:rPr>
          <m:t>⋅</m:t>
        </m:r>
        <m:sSub>
          <m:e>
            <m:r>
              <m:rPr>
                <m:sty m:val="b"/>
              </m:rPr>
              <m:t>a</m:t>
            </m:r>
          </m:e>
          <m:sub>
            <m:r>
              <m:t>j</m:t>
            </m:r>
          </m:sub>
        </m:sSub>
        <m:r>
          <m:rPr>
            <m:sty m:val="p"/>
          </m:rPr>
          <m:t>=</m:t>
        </m:r>
        <m:sSub>
          <m:e>
            <m:r>
              <m:t>δ</m:t>
            </m:r>
          </m:e>
          <m:sub>
            <m:r>
              <m:t>i</m:t>
            </m:r>
            <m:r>
              <m:t>j</m:t>
            </m:r>
          </m:sub>
        </m:sSub>
      </m:oMath>
      <w:r>
        <w:t xml:space="preserve"> </w:t>
      </w:r>
      <w:r>
        <w:rPr>
          <w:rFonts w:hint="eastAsia"/>
        </w:rPr>
        <w:t xml:space="preserve">を用いると、この変換行列の関係を導き出すことができます。</w:t>
      </w:r>
    </w:p>
    <w:p>
      <w:pPr>
        <w:pStyle w:val="BodyText"/>
      </w:pPr>
      <w:r>
        <w:rPr>
          <w:rFonts w:hint="eastAsia"/>
        </w:rPr>
        <w:t xml:space="preserve">まず、実格子の基本ベクトルから逆格子の基本ベクトルへの変換を、ある変換行列</w:t>
      </w:r>
      <w:r>
        <w:t xml:space="preserve"> </w:t>
      </w:r>
      <m:oMath>
        <m:r>
          <m:t>M</m:t>
        </m:r>
        <m:r>
          <m:rPr>
            <m:sty m:val="p"/>
          </m:rPr>
          <m:t>=</m:t>
        </m:r>
        <m:r>
          <m:rPr>
            <m:sty m:val="p"/>
          </m:rPr>
          <m:t>(</m:t>
        </m:r>
        <m:sSub>
          <m:e>
            <m:r>
              <m:t>m</m:t>
            </m:r>
          </m:e>
          <m:sub>
            <m:r>
              <m:t>i</m:t>
            </m:r>
            <m:r>
              <m:t>j</m:t>
            </m:r>
          </m:sub>
        </m:sSub>
        <m:r>
          <m:rPr>
            <m:sty m:val="p"/>
          </m:rPr>
          <m:t>)</m:t>
        </m:r>
      </m:oMath>
      <w:r>
        <w:t xml:space="preserve"> </w:t>
      </w:r>
      <w:r>
        <w:rPr>
          <w:rFonts w:hint="eastAsia"/>
        </w:rPr>
        <w:t xml:space="preserve">を用いて次のように仮定してみましょう。</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b>
                <m:e>
                  <m:r>
                    <m:t>m</m:t>
                  </m:r>
                </m:e>
                <m:sub>
                  <m:r>
                    <m:t>i</m:t>
                  </m:r>
                  <m:r>
                    <m:t>j</m:t>
                  </m:r>
                </m:sub>
              </m:sSub>
            </m:e>
          </m:nary>
          <m:sSub>
            <m:e>
              <m:r>
                <m:rPr>
                  <m:sty m:val="b"/>
                </m:rPr>
                <m:t>a</m:t>
              </m:r>
            </m:e>
            <m:sub>
              <m:r>
                <m:t>j</m:t>
              </m:r>
            </m:sub>
          </m:sSub>
        </m:oMath>
      </m:oMathPara>
    </w:p>
    <w:p>
      <w:pPr>
        <w:pStyle w:val="FirstParagraph"/>
      </w:pPr>
      <w:r>
        <w:rPr>
          <w:rFonts w:hint="eastAsia"/>
        </w:rPr>
        <w:t xml:space="preserve">この両辺に</w:t>
      </w:r>
      <w:r>
        <w:t xml:space="preserve"> </w:t>
      </w:r>
      <m:oMath>
        <m:sSub>
          <m:e>
            <m:r>
              <m:rPr>
                <m:sty m:val="b"/>
              </m:rPr>
              <m:t>a</m:t>
            </m:r>
          </m:e>
          <m:sub>
            <m:r>
              <m:t>k</m:t>
            </m:r>
          </m:sub>
        </m:sSub>
      </m:oMath>
      <w:r>
        <w:t xml:space="preserve"> </w:t>
      </w:r>
      <w:r>
        <w:rPr>
          <w:rFonts w:hint="eastAsia"/>
        </w:rPr>
        <w:t xml:space="preserve">を内積すると、</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k</m:t>
              </m:r>
            </m:sub>
          </m:sSub>
          <m:r>
            <m:rPr>
              <m:sty m:val="p"/>
            </m:rPr>
            <m:t>=</m:t>
          </m:r>
          <m:nary>
            <m:naryPr>
              <m:chr m:val="∑"/>
              <m:limLoc m:val="undOvr"/>
              <m:subHide m:val="off"/>
              <m:supHide m:val="on"/>
            </m:naryPr>
            <m:sub>
              <m:r>
                <m:t>j</m:t>
              </m:r>
            </m:sub>
            <m:sup>
              <m:r>
                <m:t>​</m:t>
              </m:r>
            </m:sup>
            <m:e>
              <m:sSub>
                <m:e>
                  <m:r>
                    <m:t>m</m:t>
                  </m:r>
                </m:e>
                <m:sub>
                  <m:r>
                    <m:t>i</m:t>
                  </m:r>
                  <m:r>
                    <m:t>j</m:t>
                  </m:r>
                </m:sub>
              </m:sSub>
            </m:e>
          </m:nary>
          <m:r>
            <m:rPr>
              <m:sty m:val="p"/>
            </m:rPr>
            <m:t>(</m:t>
          </m:r>
          <m:sSub>
            <m:e>
              <m:r>
                <m:rPr>
                  <m:sty m:val="b"/>
                </m:rPr>
                <m:t>a</m:t>
              </m:r>
            </m:e>
            <m:sub>
              <m:r>
                <m:t>j</m:t>
              </m:r>
            </m:sub>
          </m:sSub>
          <m:r>
            <m:rPr>
              <m:sty m:val="p"/>
            </m:rPr>
            <m:t>⋅</m:t>
          </m:r>
          <m:sSub>
            <m:e>
              <m:r>
                <m:rPr>
                  <m:sty m:val="b"/>
                </m:rPr>
                <m:t>a</m:t>
              </m:r>
            </m:e>
            <m:sub>
              <m:r>
                <m:t>k</m:t>
              </m:r>
            </m:sub>
          </m:sSub>
          <m:r>
            <m:rPr>
              <m:sty m:val="p"/>
            </m:rPr>
            <m:t>)</m:t>
          </m:r>
        </m:oMath>
      </m:oMathPara>
    </w:p>
    <w:p>
      <w:pPr>
        <w:pStyle w:val="FirstParagraph"/>
      </w:pPr>
      <w:r>
        <w:rPr>
          <w:rFonts w:hint="eastAsia"/>
        </w:rPr>
        <w:t xml:space="preserve">左辺は定義から</w:t>
      </w:r>
      <w:r>
        <w:t xml:space="preserve"> </w:t>
      </w:r>
      <m:oMath>
        <m:sSub>
          <m:e>
            <m:r>
              <m:t>δ</m:t>
            </m:r>
          </m:e>
          <m:sub>
            <m:r>
              <m:t>i</m:t>
            </m:r>
            <m:r>
              <m:t>k</m:t>
            </m:r>
          </m:sub>
        </m:sSub>
      </m:oMath>
      <w:r>
        <w:t xml:space="preserve"> </w:t>
      </w:r>
      <w:r>
        <w:rPr>
          <w:rFonts w:hint="eastAsia"/>
        </w:rPr>
        <w:t xml:space="preserve">です。右辺の括弧内は実格子の計量テンソル</w:t>
      </w:r>
      <w:r>
        <w:t xml:space="preserve"> </w:t>
      </w:r>
      <m:oMath>
        <m:sSub>
          <m:e>
            <m:r>
              <m:t>g</m:t>
            </m:r>
          </m:e>
          <m:sub>
            <m:r>
              <m:t>j</m:t>
            </m:r>
            <m:r>
              <m:t>k</m:t>
            </m:r>
          </m:sub>
        </m:sSub>
      </m:oMath>
      <w:r>
        <w:t xml:space="preserve"> </w:t>
      </w:r>
      <w:r>
        <w:t xml:space="preserve">です。</w:t>
      </w:r>
    </w:p>
    <w:p>
      <w:pPr>
        <w:pStyle w:val="BodyText"/>
      </w:pPr>
      <m:oMathPara>
        <m:oMathParaPr>
          <m:jc m:val="center"/>
        </m:oMathParaPr>
        <m:oMath>
          <m:sSub>
            <m:e>
              <m:r>
                <m:t>δ</m:t>
              </m:r>
            </m:e>
            <m:sub>
              <m:r>
                <m:t>i</m:t>
              </m:r>
              <m:r>
                <m:t>k</m:t>
              </m:r>
            </m:sub>
          </m:sSub>
          <m:r>
            <m:rPr>
              <m:sty m:val="p"/>
            </m:rPr>
            <m:t>=</m:t>
          </m:r>
          <m:nary>
            <m:naryPr>
              <m:chr m:val="∑"/>
              <m:limLoc m:val="undOvr"/>
              <m:subHide m:val="off"/>
              <m:supHide m:val="on"/>
            </m:naryPr>
            <m:sub>
              <m:r>
                <m:t>j</m:t>
              </m:r>
            </m:sub>
            <m:sup>
              <m:r>
                <m:t>​</m:t>
              </m:r>
            </m:sup>
            <m:e>
              <m:sSub>
                <m:e>
                  <m:r>
                    <m:t>m</m:t>
                  </m:r>
                </m:e>
                <m:sub>
                  <m:r>
                    <m:t>i</m:t>
                  </m:r>
                  <m:r>
                    <m:t>j</m:t>
                  </m:r>
                </m:sub>
              </m:sSub>
            </m:e>
          </m:nary>
          <m:sSub>
            <m:e>
              <m:r>
                <m:t>g</m:t>
              </m:r>
            </m:e>
            <m:sub>
              <m:r>
                <m:t>j</m:t>
              </m:r>
              <m:r>
                <m:t>k</m:t>
              </m:r>
            </m:sub>
          </m:sSub>
        </m:oMath>
      </m:oMathPara>
    </w:p>
    <w:p>
      <w:pPr>
        <w:pStyle w:val="FirstParagraph"/>
      </w:pPr>
      <w:r>
        <w:rPr>
          <w:rFonts w:hint="eastAsia"/>
        </w:rPr>
        <w:t xml:space="preserve">これを行列の形で書くと、</w:t>
      </w:r>
    </w:p>
    <w:p>
      <w:pPr>
        <w:pStyle w:val="BodyText"/>
      </w:pPr>
      <m:oMathPara>
        <m:oMathParaPr>
          <m:jc m:val="center"/>
        </m:oMathParaPr>
        <m:oMath>
          <m:r>
            <m:t>I</m:t>
          </m:r>
          <m:r>
            <m:rPr>
              <m:sty m:val="p"/>
            </m:rPr>
            <m:t>=</m:t>
          </m:r>
          <m:r>
            <m:t>M</m:t>
          </m:r>
          <m:r>
            <m:t>G</m:t>
          </m:r>
        </m:oMath>
      </m:oMathPara>
    </w:p>
    <w:p>
      <w:pPr>
        <w:pStyle w:val="FirstParagraph"/>
      </w:pPr>
      <w:r>
        <w:t xml:space="preserve">ここで</w:t>
      </w:r>
      <w:r>
        <w:t xml:space="preserve"> </w:t>
      </w:r>
      <m:oMath>
        <m:r>
          <m:t>I</m:t>
        </m:r>
      </m:oMath>
      <w:r>
        <w:t xml:space="preserve"> </w:t>
      </w:r>
      <w:r>
        <w:rPr>
          <w:rFonts w:hint="eastAsia"/>
        </w:rPr>
        <w:t xml:space="preserve">は単位行列、</w:t>
      </w:r>
      <m:oMath>
        <m:r>
          <m:t>G</m:t>
        </m:r>
      </m:oMath>
      <w:r>
        <w:t xml:space="preserve"> </w:t>
      </w:r>
      <w:r>
        <w:rPr>
          <w:rFonts w:hint="eastAsia"/>
        </w:rPr>
        <w:t xml:space="preserve">は実格子の計量テンソル行列です。したがって、変換行列</w:t>
      </w:r>
      <w:r>
        <w:t xml:space="preserve"> </w:t>
      </w:r>
      <m:oMath>
        <m:r>
          <m:t>M</m:t>
        </m:r>
      </m:oMath>
      <w:r>
        <w:t xml:space="preserve"> </w:t>
      </w:r>
      <w:r>
        <w:rPr>
          <w:rFonts w:hint="eastAsia"/>
        </w:rPr>
        <w:t xml:space="preserve">は実格子の計量テンソル行列の逆行列に等しいことがわかります。</w:t>
      </w:r>
    </w:p>
    <w:p>
      <w:pPr>
        <w:pStyle w:val="BodyText"/>
      </w:pPr>
      <m:oMathPara>
        <m:oMathParaPr>
          <m:jc m:val="center"/>
        </m:oMathParaPr>
        <m:oMath>
          <m:r>
            <m:t>M</m:t>
          </m:r>
          <m:r>
            <m:rPr>
              <m:sty m:val="p"/>
            </m:rPr>
            <m:t>=</m:t>
          </m:r>
          <m:sSup>
            <m:e>
              <m:r>
                <m:t>G</m:t>
              </m:r>
            </m:e>
            <m:sup>
              <m:r>
                <m:rPr>
                  <m:sty m:val="p"/>
                </m:rPr>
                <m:t>−</m:t>
              </m:r>
              <m:r>
                <m:t>1</m:t>
              </m:r>
            </m:sup>
          </m:sSup>
        </m:oMath>
      </m:oMathPara>
    </w:p>
    <w:p>
      <w:pPr>
        <w:pStyle w:val="FirstParagraph"/>
      </w:pPr>
      <w:r>
        <w:t xml:space="preserve">この</w:t>
      </w:r>
      <w:r>
        <w:t xml:space="preserve"> </w:t>
      </w:r>
      <m:oMath>
        <m:sSup>
          <m:e>
            <m:r>
              <m:t>G</m:t>
            </m:r>
          </m:e>
          <m:sup>
            <m:r>
              <m:rPr>
                <m:sty m:val="p"/>
              </m:rPr>
              <m:t>−</m:t>
            </m:r>
            <m:r>
              <m:t>1</m:t>
            </m:r>
          </m:sup>
        </m:sSup>
      </m:oMath>
      <w:r>
        <w:t xml:space="preserve"> </w:t>
      </w:r>
      <w:r>
        <w:rPr>
          <w:rFonts w:hint="eastAsia"/>
        </w:rPr>
        <w:t xml:space="preserve">こそが、逆格子の計量テンソル</w:t>
      </w:r>
      <w:r>
        <w:t xml:space="preserve"> </w:t>
      </w:r>
      <m:oMath>
        <m:sSup>
          <m:e>
            <m:r>
              <m:t>g</m:t>
            </m:r>
          </m:e>
          <m:sup>
            <m:r>
              <m:t>i</m:t>
            </m:r>
            <m:r>
              <m:t>j</m:t>
            </m:r>
          </m:sup>
        </m:sSup>
      </m:oMath>
      <w:r>
        <w:t xml:space="preserve"> </w:t>
      </w:r>
      <w:r>
        <w:rPr>
          <w:rFonts w:hint="eastAsia"/>
        </w:rPr>
        <w:t xml:space="preserve">に他なりません。</w:t>
      </w:r>
    </w:p>
    <w:p>
      <w:pPr>
        <w:pStyle w:val="BodyText"/>
      </w:pPr>
      <m:oMathPara>
        <m:oMathParaPr>
          <m:jc m:val="center"/>
        </m:oMathParaPr>
        <m:oMath>
          <m:sSub>
            <m:e>
              <m:r>
                <m:t>m</m:t>
              </m:r>
            </m:e>
            <m:sub>
              <m:r>
                <m:t>i</m:t>
              </m:r>
              <m:r>
                <m:t>j</m:t>
              </m:r>
            </m:sub>
          </m:sSub>
          <m:r>
            <m:rPr>
              <m:sty m:val="p"/>
            </m:rPr>
            <m:t>=</m:t>
          </m:r>
          <m:sSup>
            <m:e>
              <m:r>
                <m:t>g</m:t>
              </m:r>
            </m:e>
            <m:sup>
              <m:r>
                <m:t>i</m:t>
              </m:r>
              <m:r>
                <m:t>j</m:t>
              </m:r>
            </m:sup>
          </m:sSup>
        </m:oMath>
      </m:oMathPara>
    </w:p>
    <w:p>
      <w:pPr>
        <w:pStyle w:val="FirstParagraph"/>
      </w:pPr>
      <w:r>
        <w:rPr>
          <w:rFonts w:hint="eastAsia"/>
        </w:rPr>
        <w:t xml:space="preserve">この結果は非常に重要です。</w:t>
      </w:r>
      <w:r>
        <w:rPr>
          <w:rFonts w:hint="eastAsia"/>
          <w:b/>
          <w:bCs/>
        </w:rPr>
        <w:t xml:space="preserve">実格子ベクトルを逆格子ベクトルに変換する際の変換行列は、逆格子の計量テンソルに等しい</w:t>
      </w:r>
      <w:r>
        <w:t xml:space="preserve">ということです。</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p>
                <m:e>
                  <m:r>
                    <m:t>g</m:t>
                  </m:r>
                </m:e>
                <m:sup>
                  <m:r>
                    <m:t>i</m:t>
                  </m:r>
                  <m:r>
                    <m:t>j</m:t>
                  </m:r>
                </m:sup>
              </m:sSup>
            </m:e>
          </m:nary>
          <m:sSub>
            <m:e>
              <m:r>
                <m:rPr>
                  <m:sty m:val="b"/>
                </m:rPr>
                <m:t>a</m:t>
              </m:r>
            </m:e>
            <m:sub>
              <m:r>
                <m:t>j</m:t>
              </m:r>
            </m:sub>
          </m:sSub>
        </m:oMath>
      </m:oMathPara>
    </w:p>
    <w:p>
      <w:pPr>
        <w:pStyle w:val="FirstParagraph"/>
      </w:pPr>
      <w:r>
        <w:rPr>
          <w:rFonts w:hint="eastAsia"/>
        </w:rPr>
        <w:t xml:space="preserve">この関係は、共変成分と反変成分を変換する上で、計量テンソルが「添え字の上げ下げ」の役割を果たすことを示唆しています。</w:t>
      </w:r>
    </w:p>
    <w:bookmarkEnd w:id="17"/>
    <w:bookmarkStart w:id="18" w:name="内積の不変性と添え字規則"/>
    <w:p>
      <w:pPr>
        <w:pStyle w:val="Heading3"/>
      </w:pPr>
      <w:r>
        <w:t xml:space="preserve">2.4 </w:t>
      </w:r>
      <w:r>
        <w:rPr>
          <w:rFonts w:hint="eastAsia"/>
        </w:rPr>
        <w:t xml:space="preserve">内積の不変性と添え字規則</w:t>
      </w:r>
    </w:p>
    <w:p>
      <w:pPr>
        <w:pStyle w:val="FirstParagraph"/>
      </w:pPr>
      <w:r>
        <w:rPr>
          <w:rFonts w:hint="eastAsia"/>
        </w:rPr>
        <w:t xml:space="preserve">共変ベクトルと反変ベクトルの概念を導入する最大の利点の一つは、その内積が座標変換に対して不変量（スカラー）となることです。</w:t>
      </w:r>
    </w:p>
    <w:p>
      <w:pPr>
        <w:pStyle w:val="BodyText"/>
      </w:pPr>
      <w:r>
        <w:rPr>
          <w:rFonts w:hint="eastAsia"/>
          <w:b/>
          <w:bCs/>
        </w:rPr>
        <w:t xml:space="preserve">ベクトルの内積の不変性</w:t>
      </w:r>
      <w:r>
        <w:t xml:space="preserve"> </w:t>
      </w:r>
      <w:r>
        <w:rPr>
          <w:rFonts w:hint="eastAsia"/>
        </w:rPr>
        <w:t xml:space="preserve">位置ベクトル</w:t>
      </w:r>
      <w:r>
        <w:t xml:space="preserve"> </w:t>
      </w:r>
      <m:oMath>
        <m:r>
          <m:rPr>
            <m:sty m:val="b"/>
          </m:rPr>
          <m:t>r</m:t>
        </m:r>
      </m:oMath>
      <w:r>
        <w:t xml:space="preserve"> </w:t>
      </w:r>
      <w:r>
        <w:rPr>
          <w:rFonts w:hint="eastAsia"/>
        </w:rPr>
        <w:t xml:space="preserve">を共変基底ベクトル</w:t>
      </w:r>
      <w:r>
        <w:t xml:space="preserve"> </w:t>
      </w:r>
      <m:oMath>
        <m:sSub>
          <m:e>
            <m:r>
              <m:rPr>
                <m:sty m:val="b"/>
              </m:rPr>
              <m:t>a</m:t>
            </m:r>
          </m:e>
          <m:sub>
            <m:r>
              <m:t>i</m:t>
            </m:r>
          </m:sub>
        </m:sSub>
      </m:oMath>
      <w:r>
        <w:t xml:space="preserve"> </w:t>
      </w:r>
      <w:r>
        <w:rPr>
          <w:rFonts w:hint="eastAsia"/>
        </w:rPr>
        <w:t xml:space="preserve">と反変座標</w:t>
      </w:r>
      <w:r>
        <w:t xml:space="preserve"> </w:t>
      </w:r>
      <m:oMath>
        <m:sSup>
          <m:e>
            <m:r>
              <m:t>x</m:t>
            </m:r>
          </m:e>
          <m:sup>
            <m:r>
              <m:t>i</m:t>
            </m:r>
          </m:sup>
        </m:sSup>
      </m:oMath>
      <w:r>
        <w:t xml:space="preserve"> </w:t>
      </w:r>
      <w:r>
        <w:rPr>
          <w:rFonts w:hint="eastAsia"/>
        </w:rPr>
        <w:t xml:space="preserve">を用いて表すと、</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rPr>
          <w:rFonts w:hint="eastAsia"/>
        </w:rPr>
        <w:t xml:space="preserve">と書けます。これを、変換された基底</w:t>
      </w:r>
      <w:r>
        <w:t xml:space="preserve"> </w:t>
      </w:r>
      <m:oMath>
        <m:sSub>
          <m:e>
            <m:sSup>
              <m:e>
                <m:r>
                  <m:rPr>
                    <m:sty m:val="b"/>
                  </m:rPr>
                  <m:t>a</m:t>
                </m:r>
              </m:e>
              <m:sup>
                <m:r>
                  <m:rPr>
                    <m:sty m:val="p"/>
                  </m:rPr>
                  <m:t>′</m:t>
                </m:r>
              </m:sup>
            </m:sSup>
          </m:e>
          <m:sub>
            <m:r>
              <m:t>i</m:t>
            </m:r>
          </m:sub>
        </m:sSub>
      </m:oMath>
      <w:r>
        <w:t xml:space="preserve"> </w:t>
      </w:r>
      <w:r>
        <w:rPr>
          <w:rFonts w:hint="eastAsia"/>
        </w:rPr>
        <w:t xml:space="preserve">と座標</w:t>
      </w:r>
      <w:r>
        <w:t xml:space="preserve"> </w:t>
      </w:r>
      <m:oMath>
        <m:sSup>
          <m:e>
            <m:sSup>
              <m:e>
                <m:r>
                  <m:t>x</m:t>
                </m:r>
              </m:e>
              <m:sup>
                <m:r>
                  <m:rPr>
                    <m:sty m:val="p"/>
                  </m:rPr>
                  <m:t>′</m:t>
                </m:r>
              </m:sup>
            </m:sSup>
          </m:e>
          <m:sup>
            <m:r>
              <m:t>i</m:t>
            </m:r>
          </m:sup>
        </m:sSup>
      </m:oMath>
      <w:r>
        <w:t xml:space="preserve"> </w:t>
      </w:r>
      <w:r>
        <w:rPr>
          <w:rFonts w:hint="eastAsia"/>
        </w:rPr>
        <w:t xml:space="preserve">で表しても、同じベクトル</w:t>
      </w:r>
      <w:r>
        <w:t xml:space="preserve"> </w:t>
      </w:r>
      <m:oMath>
        <m:r>
          <m:rPr>
            <m:sty m:val="b"/>
          </m:rPr>
          <m:t>r</m:t>
        </m:r>
      </m:oMath>
      <w:r>
        <w:t xml:space="preserve"> </w:t>
      </w:r>
      <w:r>
        <w:t xml:space="preserve">であるはずです。</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m:oMathPara>
    </w:p>
    <w:p>
      <w:pPr>
        <w:pStyle w:val="FirstParagraph"/>
      </w:pPr>
      <w:r>
        <w:t xml:space="preserve">ここで、</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t xml:space="preserve">と</w:t>
      </w:r>
      <w:r>
        <w:t xml:space="preserve"> </w:t>
      </w:r>
      <m:oMath>
        <m:sSup>
          <m:e>
            <m:sSup>
              <m:e>
                <m:r>
                  <m:t>x</m:t>
                </m:r>
              </m:e>
              <m:sup>
                <m:r>
                  <m:rPr>
                    <m:sty m:val="p"/>
                  </m:rPr>
                  <m:t>′</m:t>
                </m:r>
              </m:sup>
            </m:sSup>
          </m:e>
          <m:sup>
            <m:r>
              <m:t>i</m:t>
            </m:r>
          </m:sup>
        </m:sSup>
        <m:r>
          <m:rPr>
            <m:sty m:val="p"/>
          </m:rPr>
          <m:t>=</m:t>
        </m:r>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oMath>
      <w:r>
        <w:t xml:space="preserve"> </w:t>
      </w:r>
      <w:r>
        <w:rPr>
          <w:rFonts w:hint="eastAsia"/>
        </w:rPr>
        <w:t xml:space="preserve">の関係を使うと、</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i</m:t>
              </m:r>
            </m:sub>
            <m:sup>
              <m:r>
                <m:t>​</m:t>
              </m:r>
            </m:sup>
            <m:e>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e>
              </m:d>
            </m:e>
          </m:nary>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oMath>
      </m:oMathPara>
    </w:p>
    <w:p>
      <w:pPr>
        <w:pStyle w:val="FirstParagraph"/>
      </w:pPr>
      <m:oMathPara>
        <m:oMathParaPr>
          <m:jc m:val="center"/>
        </m:oMathParaPr>
        <m:oMath>
          <m:r>
            <m:rPr>
              <m:sty m:val="p"/>
            </m:rPr>
            <m:t>=</m:t>
          </m:r>
          <m:nary>
            <m:naryPr>
              <m:chr m:val="∑"/>
              <m:limLoc m:val="undOvr"/>
              <m:subHide m:val="off"/>
              <m:supHide m:val="on"/>
            </m:naryPr>
            <m:sub>
              <m:r>
                <m:t>k</m:t>
              </m:r>
              <m:r>
                <m:rPr>
                  <m:sty m:val="p"/>
                </m:rPr>
                <m:t>,</m:t>
              </m:r>
              <m:r>
                <m:t>l</m:t>
              </m:r>
            </m:sub>
            <m:sup>
              <m:r>
                <m:t>​</m:t>
              </m:r>
            </m:sup>
            <m:e>
              <m:sSub>
                <m:e>
                  <m:r>
                    <m:rPr>
                      <m:sty m:val="b"/>
                    </m:rPr>
                    <m:t>a</m:t>
                  </m:r>
                </m:e>
                <m:sub>
                  <m:r>
                    <m:t>k</m:t>
                  </m:r>
                </m:sub>
              </m:sSub>
            </m:e>
          </m:nary>
          <m:sSup>
            <m:e>
              <m:r>
                <m:t>x</m:t>
              </m:r>
            </m:e>
            <m:sup>
              <m:r>
                <m:t>l</m:t>
              </m:r>
            </m:sup>
          </m:sSup>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oMath>
      </m:oMathPara>
    </w:p>
    <w:p>
      <w:pPr>
        <w:pStyle w:val="FirstParagraph"/>
      </w:pPr>
      <w:r>
        <w:t xml:space="preserve">ここで、</w:t>
      </w:r>
      <m:oMath>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oMath>
      <w:r>
        <w:t xml:space="preserve"> </w:t>
      </w:r>
      <w:r>
        <w:rPr>
          <w:rFonts w:hint="eastAsia"/>
        </w:rPr>
        <w:t xml:space="preserve">の部分は、変換行列</w:t>
      </w:r>
      <w:r>
        <w:t xml:space="preserve"> </w:t>
      </w:r>
      <m:oMath>
        <m:r>
          <m:t>T</m:t>
        </m:r>
      </m:oMath>
      <w:r>
        <w:t xml:space="preserve"> </w:t>
      </w:r>
      <w:r>
        <w:rPr>
          <w:rFonts w:hint="eastAsia"/>
        </w:rPr>
        <w:t xml:space="preserve">とその逆行列</w:t>
      </w:r>
      <w:r>
        <w:t xml:space="preserve"> </w:t>
      </w:r>
      <m:oMath>
        <m:sSup>
          <m:e>
            <m:r>
              <m:t>T</m:t>
            </m:r>
          </m:e>
          <m:sup>
            <m:r>
              <m:rPr>
                <m:sty m:val="p"/>
              </m:rPr>
              <m:t>−</m:t>
            </m:r>
            <m:r>
              <m:t>1</m:t>
            </m:r>
          </m:sup>
        </m:sSup>
      </m:oMath>
      <w:r>
        <w:t xml:space="preserve"> </w:t>
      </w:r>
      <w:r>
        <w:rPr>
          <w:rFonts w:hint="eastAsia"/>
        </w:rPr>
        <w:t xml:space="preserve">の積の成分</w:t>
      </w:r>
      <w:r>
        <w:t xml:space="preserve"> </w:t>
      </w:r>
      <m:oMath>
        <m:r>
          <m:rPr>
            <m:sty m:val="p"/>
          </m:rPr>
          <m:t>(</m:t>
        </m:r>
        <m:r>
          <m:t>T</m:t>
        </m:r>
        <m:sSup>
          <m:e>
            <m:r>
              <m:t>T</m:t>
            </m:r>
          </m:e>
          <m:sup>
            <m:r>
              <m:rPr>
                <m:sty m:val="p"/>
              </m:rPr>
              <m:t>−</m:t>
            </m:r>
            <m:r>
              <m:t>1</m:t>
            </m:r>
          </m:sup>
        </m:sSup>
        <m:sSub>
          <m:e>
            <m:r>
              <m:rPr>
                <m:sty m:val="p"/>
              </m:rPr>
              <m:t>)</m:t>
            </m:r>
          </m:e>
          <m:sub>
            <m:r>
              <m:t>k</m:t>
            </m:r>
            <m:r>
              <m:t>l</m:t>
            </m:r>
          </m:sub>
        </m:sSub>
      </m:oMath>
      <w:r>
        <w:t xml:space="preserve"> </w:t>
      </w:r>
      <w:r>
        <w:rPr>
          <w:rFonts w:hint="eastAsia"/>
        </w:rPr>
        <w:t xml:space="preserve">に相当します。これはクロネッカーのデルタ</w:t>
      </w:r>
      <w:r>
        <w:t xml:space="preserve"> </w:t>
      </w:r>
      <m:oMath>
        <m:sSub>
          <m:e>
            <m:r>
              <m:t>δ</m:t>
            </m:r>
          </m:e>
          <m:sub>
            <m:r>
              <m:t>k</m:t>
            </m:r>
            <m:r>
              <m:t>l</m:t>
            </m:r>
          </m:sub>
        </m:sSub>
      </m:oMath>
      <w:r>
        <w:t xml:space="preserve"> </w:t>
      </w:r>
      <w:r>
        <w:rPr>
          <w:rFonts w:hint="eastAsia"/>
        </w:rPr>
        <w:t xml:space="preserve">に他なりません。</w:t>
      </w:r>
    </w:p>
    <w:p>
      <w:pPr>
        <w:pStyle w:val="BodyText"/>
      </w:pPr>
      <m:oMathPara>
        <m:oMathParaPr>
          <m:jc m:val="center"/>
        </m:oMathParaPr>
        <m:oMath>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r>
            <m:rPr>
              <m:sty m:val="p"/>
            </m:rPr>
            <m:t>=</m:t>
          </m:r>
          <m:sSub>
            <m:e>
              <m:r>
                <m:t>δ</m:t>
              </m:r>
            </m:e>
            <m:sub>
              <m:r>
                <m:t>k</m:t>
              </m:r>
              <m:r>
                <m:t>l</m:t>
              </m:r>
            </m:sub>
          </m:sSub>
        </m:oMath>
      </m:oMathPara>
    </w:p>
    <w:p>
      <w:pPr>
        <w:pStyle w:val="FirstParagraph"/>
      </w:pPr>
      <w:r>
        <w:rPr>
          <w:rFonts w:hint="eastAsia"/>
        </w:rPr>
        <w:t xml:space="preserve">したがって、式は次のようになります。</w:t>
      </w:r>
    </w:p>
    <w:p>
      <w:pPr>
        <w:pStyle w:val="BodyText"/>
      </w:pPr>
      <m:oMathPara>
        <m:oMathParaPr>
          <m:jc m:val="center"/>
        </m:oMathParaPr>
        <m:oMath>
          <m:nary>
            <m:naryPr>
              <m:chr m:val="∑"/>
              <m:limLoc m:val="undOvr"/>
              <m:subHide m:val="off"/>
              <m:supHide m:val="on"/>
            </m:naryPr>
            <m:sub>
              <m:r>
                <m:t>k</m:t>
              </m:r>
              <m:r>
                <m:rPr>
                  <m:sty m:val="p"/>
                </m:rPr>
                <m:t>,</m:t>
              </m:r>
              <m:r>
                <m:t>l</m:t>
              </m:r>
            </m:sub>
            <m:sup>
              <m:r>
                <m:t>​</m:t>
              </m:r>
            </m:sup>
            <m:e>
              <m:sSub>
                <m:e>
                  <m:r>
                    <m:rPr>
                      <m:sty m:val="b"/>
                    </m:rPr>
                    <m:t>a</m:t>
                  </m:r>
                </m:e>
                <m:sub>
                  <m:r>
                    <m:t>k</m:t>
                  </m:r>
                </m:sub>
              </m:sSub>
            </m:e>
          </m:nary>
          <m:sSup>
            <m:e>
              <m:r>
                <m:t>x</m:t>
              </m:r>
            </m:e>
            <m:sup>
              <m:r>
                <m:t>l</m:t>
              </m:r>
            </m:sup>
          </m:sSup>
          <m:sSub>
            <m:e>
              <m:r>
                <m:t>δ</m:t>
              </m:r>
            </m:e>
            <m:sub>
              <m:r>
                <m:t>k</m:t>
              </m:r>
              <m:r>
                <m:t>l</m:t>
              </m:r>
            </m:sub>
          </m:sSub>
          <m:r>
            <m:rPr>
              <m:sty m:val="p"/>
            </m:rPr>
            <m:t>=</m:t>
          </m:r>
          <m:nary>
            <m:naryPr>
              <m:chr m:val="∑"/>
              <m:limLoc m:val="undOvr"/>
              <m:subHide m:val="off"/>
              <m:supHide m:val="on"/>
            </m:naryPr>
            <m:sub>
              <m:r>
                <m:t>k</m:t>
              </m:r>
            </m:sub>
            <m:sup>
              <m:r>
                <m:t>​</m:t>
              </m:r>
            </m:sup>
            <m:e>
              <m:sSub>
                <m:e>
                  <m:r>
                    <m:rPr>
                      <m:sty m:val="b"/>
                    </m:rPr>
                    <m:t>a</m:t>
                  </m:r>
                </m:e>
                <m:sub>
                  <m:r>
                    <m:t>k</m:t>
                  </m:r>
                </m:sub>
              </m:sSub>
            </m:e>
          </m:nary>
          <m:sSup>
            <m:e>
              <m:r>
                <m:t>x</m:t>
              </m:r>
            </m:e>
            <m:sup>
              <m:r>
                <m:t>k</m:t>
              </m:r>
            </m:sup>
          </m:sSup>
          <m:r>
            <m:rPr>
              <m:sty m:val="p"/>
            </m:rPr>
            <m:t>=</m:t>
          </m:r>
          <m:r>
            <m:rPr>
              <m:sty m:val="b"/>
            </m:rPr>
            <m:t>r</m:t>
          </m:r>
        </m:oMath>
      </m:oMathPara>
    </w:p>
    <w:p>
      <w:pPr>
        <w:pStyle w:val="FirstParagraph"/>
      </w:pPr>
      <w:r>
        <w:rPr>
          <w:rFonts w:hint="eastAsia"/>
        </w:rPr>
        <w:t xml:space="preserve">この結果は、位置ベクトル</w:t>
      </w:r>
      <w:r>
        <w:t xml:space="preserve"> </w:t>
      </w:r>
      <m:oMath>
        <m:r>
          <m:rPr>
            <m:sty m:val="b"/>
          </m:rPr>
          <m:t>r</m:t>
        </m:r>
      </m:oMath>
      <w:r>
        <w:t xml:space="preserve"> </w:t>
      </w:r>
      <w:r>
        <w:rPr>
          <w:rFonts w:hint="eastAsia"/>
        </w:rPr>
        <w:t xml:space="preserve">が座標変換によっても変化しない不変量（スカラー）であることを再確認しています。これは、共変ベクトルと反変ベクトルの内積が不変量となることの一般則の一例です。</w:t>
      </w:r>
    </w:p>
    <w:p>
      <w:pPr>
        <w:pStyle w:val="BodyText"/>
      </w:pPr>
      <w:r>
        <w:rPr>
          <w:rFonts w:hint="eastAsia"/>
          <w:b/>
          <w:bCs/>
        </w:rPr>
        <w:t xml:space="preserve">アインシュタインの縮約記法と添え字規則</w:t>
      </w:r>
    </w:p>
    <w:p>
      <w:pPr>
        <w:pStyle w:val="BodyText"/>
      </w:pPr>
      <w:r>
        <w:rPr>
          <w:rFonts w:hint="eastAsia"/>
        </w:rPr>
        <w:t xml:space="preserve">このように、共変ベクトルと反変ベクトルの内積は常にスカラーとなるため、数学者アルベルト・アインシュタインは、相対性理論を展開する際に「アインシュタインの縮約記法（Einstein</w:t>
      </w:r>
      <w:r>
        <w:t xml:space="preserve"> Summation </w:t>
      </w:r>
      <w:r>
        <w:rPr>
          <w:rFonts w:hint="eastAsia"/>
        </w:rPr>
        <w:t xml:space="preserve">Convention）」を提唱しました。</w:t>
      </w:r>
    </w:p>
    <w:p>
      <w:pPr>
        <w:pStyle w:val="BodyText"/>
      </w:pPr>
      <w:r>
        <w:rPr>
          <w:rFonts w:hint="eastAsia"/>
          <w:b/>
          <w:bCs/>
        </w:rPr>
        <w:t xml:space="preserve">規則:</w:t>
      </w:r>
      <w:r>
        <w:t xml:space="preserve"> </w:t>
      </w:r>
      <w:r>
        <w:t xml:space="preserve">1.</w:t>
      </w:r>
      <w:r>
        <w:t xml:space="preserve"> </w:t>
      </w:r>
      <w:r>
        <w:rPr>
          <w:rFonts w:hint="eastAsia"/>
          <w:b/>
          <w:bCs/>
        </w:rPr>
        <w:t xml:space="preserve">共変ベクトルの添え字は下付きに書く。</w:t>
      </w:r>
      <w:r>
        <w:t xml:space="preserve"> </w:t>
      </w:r>
      <w:r>
        <w:rPr>
          <w:rFonts w:hint="eastAsia"/>
        </w:rPr>
        <w:t xml:space="preserve">(例:</w:t>
      </w:r>
      <w:r>
        <w:t xml:space="preserve"> </w:t>
      </w:r>
      <m:oMath>
        <m:sSub>
          <m:e>
            <m:r>
              <m:rPr>
                <m:sty m:val="b"/>
              </m:rPr>
              <m:t>a</m:t>
            </m:r>
          </m:e>
          <m:sub>
            <m:r>
              <m:t>i</m:t>
            </m:r>
          </m:sub>
        </m:sSub>
      </m:oMath>
      <w:r>
        <w:t xml:space="preserve">)</w:t>
      </w:r>
      <w:r>
        <w:t xml:space="preserve"> </w:t>
      </w:r>
      <w:r>
        <w:t xml:space="preserve">2.</w:t>
      </w:r>
      <w:r>
        <w:t xml:space="preserve"> </w:t>
      </w:r>
      <w:r>
        <w:rPr>
          <w:rFonts w:hint="eastAsia"/>
          <w:b/>
          <w:bCs/>
        </w:rPr>
        <w:t xml:space="preserve">反変ベクトルの添え字は上付きに書く。</w:t>
      </w:r>
      <w:r>
        <w:t xml:space="preserve"> </w:t>
      </w:r>
      <w:r>
        <w:rPr>
          <w:rFonts w:hint="eastAsia"/>
        </w:rPr>
        <w:t xml:space="preserve">(例:</w:t>
      </w:r>
      <w:r>
        <w:t xml:space="preserve"> </w:t>
      </w:r>
      <m:oMath>
        <m:sSup>
          <m:e>
            <m:r>
              <m:t>x</m:t>
            </m:r>
          </m:e>
          <m:sup>
            <m:r>
              <m:t>i</m:t>
            </m:r>
          </m:sup>
        </m:sSup>
      </m:oMath>
      <w:r>
        <w:t xml:space="preserve">)</w:t>
      </w:r>
      <w:r>
        <w:t xml:space="preserve"> </w:t>
      </w:r>
      <w:r>
        <w:t xml:space="preserve">3.</w:t>
      </w:r>
      <w:r>
        <w:t xml:space="preserve"> </w:t>
      </w:r>
      <w:r>
        <w:rPr>
          <w:rFonts w:hint="eastAsia"/>
          <w:b/>
          <w:bCs/>
        </w:rPr>
        <w:t xml:space="preserve">同じ添え字記号が上と下にペアで現れる場合、その添え字についての総和（</w:t>
      </w:r>
      <m:oMath>
        <m:r>
          <m:rPr>
            <m:sty m:val="p"/>
          </m:rPr>
          <m:t>∑</m:t>
        </m:r>
      </m:oMath>
      <w:r>
        <w:rPr>
          <w:rFonts w:hint="eastAsia"/>
          <w:b/>
          <w:bCs/>
        </w:rPr>
        <w:t xml:space="preserve">）は省略して書く。</w:t>
      </w:r>
    </w:p>
    <w:p>
      <w:pPr>
        <w:pStyle w:val="BodyText"/>
      </w:pPr>
      <w:r>
        <w:rPr>
          <w:rFonts w:hint="eastAsia"/>
        </w:rPr>
        <w:t xml:space="preserve">例えば、</w:t>
      </w:r>
      <m:oMath>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は</w:t>
      </w:r>
      <w:r>
        <w:t xml:space="preserve"> </w:t>
      </w:r>
      <m:oMath>
        <m:sSup>
          <m:e>
            <m:r>
              <m:t>x</m:t>
            </m:r>
          </m:e>
          <m:sup>
            <m:r>
              <m:t>i</m:t>
            </m:r>
          </m:sup>
        </m:sSup>
        <m:sSub>
          <m:e>
            <m:r>
              <m:rPr>
                <m:sty m:val="b"/>
              </m:rPr>
              <m:t>a</m:t>
            </m:r>
          </m:e>
          <m:sub>
            <m:r>
              <m:t>i</m:t>
            </m:r>
          </m:sub>
        </m:sSub>
      </m:oMath>
      <w:r>
        <w:t xml:space="preserve"> </w:t>
      </w:r>
      <w:r>
        <w:rPr>
          <w:rFonts w:hint="eastAsia"/>
        </w:rPr>
        <w:t xml:space="preserve">と簡略化して書きます。この記法を用いると、同じ添え字が上と下にペアで現れる量がスカラー（不変量）であることが一目でわかります。</w:t>
      </w:r>
    </w:p>
    <w:p>
      <w:pPr>
        <w:pStyle w:val="BodyText"/>
      </w:pPr>
      <w:r>
        <w:rPr>
          <w:rFonts w:hint="eastAsia"/>
        </w:rPr>
        <w:t xml:space="preserve">この添え字規則に従って、これまでに登場した量を書き直してみましょう。</w:t>
      </w:r>
    </w:p>
    <w:p>
      <w:pPr>
        <w:pStyle w:val="Compact"/>
        <w:numPr>
          <w:ilvl w:val="0"/>
          <w:numId w:val="1006"/>
        </w:numPr>
      </w:pPr>
      <w:r>
        <w:rPr>
          <w:rFonts w:hint="eastAsia"/>
          <w:b/>
          <w:bCs/>
        </w:rPr>
        <w:t xml:space="preserve">共変ベクトル（添え字は下付き）</w:t>
      </w:r>
      <w:r>
        <w:t xml:space="preserve">:</w:t>
      </w:r>
    </w:p>
    <w:p>
      <w:pPr>
        <w:pStyle w:val="Compact"/>
        <w:numPr>
          <w:ilvl w:val="1"/>
          <w:numId w:val="1007"/>
        </w:numPr>
      </w:pPr>
      <w:r>
        <w:rPr>
          <w:rFonts w:hint="eastAsia"/>
        </w:rPr>
        <w:t xml:space="preserve">実格子の基本ベクトル:</w:t>
      </w:r>
      <w:r>
        <w:t xml:space="preserve"> </w:t>
      </w:r>
      <m:oMath>
        <m:sSub>
          <m:e>
            <m:r>
              <m:rPr>
                <m:sty m:val="b"/>
              </m:rPr>
              <m:t>a</m:t>
            </m:r>
          </m:e>
          <m:sub>
            <m:r>
              <m:t>i</m:t>
            </m:r>
          </m:sub>
        </m:sSub>
      </m:oMath>
    </w:p>
    <w:p>
      <w:pPr>
        <w:pStyle w:val="Compact"/>
        <w:numPr>
          <w:ilvl w:val="1"/>
          <w:numId w:val="1007"/>
        </w:numPr>
      </w:pPr>
      <w:r>
        <w:rPr>
          <w:rFonts w:hint="eastAsia"/>
        </w:rPr>
        <w:t xml:space="preserve">逆格子の座標（ミラー指数）:</w:t>
      </w:r>
      <w:r>
        <w:t xml:space="preserve"> </w:t>
      </w:r>
      <m:oMath>
        <m:sSub>
          <m:e>
            <m:r>
              <m:t>h</m:t>
            </m:r>
          </m:e>
          <m:sub>
            <m:r>
              <m:t>i</m:t>
            </m:r>
          </m:sub>
        </m:sSub>
      </m:oMath>
    </w:p>
    <w:p>
      <w:pPr>
        <w:pStyle w:val="Compact"/>
        <w:numPr>
          <w:ilvl w:val="1"/>
          <w:numId w:val="1007"/>
        </w:numPr>
      </w:pPr>
      <w:r>
        <w:rPr>
          <w:rFonts w:hint="eastAsia"/>
        </w:rPr>
        <w:t xml:space="preserve">実格子の計量テンソル:</w:t>
      </w:r>
      <w:r>
        <w:t xml:space="preserve"> </w:t>
      </w:r>
      <m:oMath>
        <m:sSub>
          <m:e>
            <m:r>
              <m:t>g</m:t>
            </m:r>
          </m:e>
          <m:sub>
            <m:r>
              <m:t>i</m:t>
            </m:r>
            <m:r>
              <m:t>j</m:t>
            </m:r>
          </m:sub>
        </m:sSub>
      </m:oMath>
      <w:r>
        <w:t xml:space="preserve"> </w:t>
      </w:r>
      <w:r>
        <w:rPr>
          <w:rFonts w:hint="eastAsia"/>
        </w:rPr>
        <w:t xml:space="preserve">（2階共変テンソル）</w:t>
      </w:r>
    </w:p>
    <w:p>
      <w:pPr>
        <w:pStyle w:val="Compact"/>
        <w:numPr>
          <w:ilvl w:val="0"/>
          <w:numId w:val="1006"/>
        </w:numPr>
      </w:pPr>
      <w:r>
        <w:rPr>
          <w:rFonts w:hint="eastAsia"/>
          <w:b/>
          <w:bCs/>
        </w:rPr>
        <w:t xml:space="preserve">反変ベクトル（添え字は上付き）</w:t>
      </w:r>
      <w:r>
        <w:t xml:space="preserve">:</w:t>
      </w:r>
    </w:p>
    <w:p>
      <w:pPr>
        <w:pStyle w:val="Compact"/>
        <w:numPr>
          <w:ilvl w:val="1"/>
          <w:numId w:val="1008"/>
        </w:numPr>
      </w:pPr>
      <w:r>
        <w:rPr>
          <w:rFonts w:hint="eastAsia"/>
        </w:rPr>
        <w:t xml:space="preserve">実格子の座標:</w:t>
      </w:r>
      <w:r>
        <w:t xml:space="preserve"> </w:t>
      </w:r>
      <m:oMath>
        <m:sSup>
          <m:e>
            <m:r>
              <m:t>x</m:t>
            </m:r>
          </m:e>
          <m:sup>
            <m:r>
              <m:t>i</m:t>
            </m:r>
          </m:sup>
        </m:sSup>
      </m:oMath>
    </w:p>
    <w:p>
      <w:pPr>
        <w:pStyle w:val="Compact"/>
        <w:numPr>
          <w:ilvl w:val="1"/>
          <w:numId w:val="1008"/>
        </w:numPr>
      </w:pPr>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08"/>
        </w:numPr>
      </w:pPr>
      <w:r>
        <w:rPr>
          <w:rFonts w:hint="eastAsia"/>
        </w:rPr>
        <w:t xml:space="preserve">逆格子の計量テンソル:</w:t>
      </w:r>
      <w:r>
        <w:t xml:space="preserve"> </w:t>
      </w:r>
      <m:oMath>
        <m:sSup>
          <m:e>
            <m:r>
              <m:t>g</m:t>
            </m:r>
          </m:e>
          <m:sup>
            <m:r>
              <m:t>i</m:t>
            </m:r>
            <m:r>
              <m:t>j</m:t>
            </m:r>
          </m:sup>
        </m:sSup>
      </m:oMath>
      <w:r>
        <w:t xml:space="preserve"> </w:t>
      </w:r>
      <w:r>
        <w:rPr>
          <w:rFonts w:hint="eastAsia"/>
        </w:rPr>
        <w:t xml:space="preserve">（2階反変テンソル）</w:t>
      </w:r>
    </w:p>
    <w:p>
      <w:pPr>
        <w:pStyle w:val="FirstParagraph"/>
      </w:pPr>
      <w:r>
        <w:rPr>
          <w:rFonts w:hint="eastAsia"/>
        </w:rPr>
        <w:t xml:space="preserve">このように表記すると、逆格子の計量テンソルをわざわざ</w:t>
      </w:r>
      <w:r>
        <w:t xml:space="preserve"> </w:t>
      </w:r>
      <m:oMath>
        <m:r>
          <m:t>R</m:t>
        </m:r>
        <m:sSub>
          <m:e>
            <m:r>
              <m:t>g</m:t>
            </m:r>
          </m:e>
          <m:sub>
            <m:r>
              <m:t>i</m:t>
            </m:r>
            <m:r>
              <m:t>j</m:t>
            </m:r>
          </m:sub>
        </m:sSub>
      </m:oMath>
      <w:r>
        <w:t xml:space="preserve"> </w:t>
      </w:r>
      <w:r>
        <w:rPr>
          <w:rFonts w:hint="eastAsia"/>
        </w:rPr>
        <w:t xml:space="preserve">と書かなくても、添え字の位置で実格子の</w:t>
      </w:r>
      <w:r>
        <w:t xml:space="preserve"> </w:t>
      </w:r>
      <m:oMath>
        <m:sSub>
          <m:e>
            <m:r>
              <m:t>g</m:t>
            </m:r>
          </m:e>
          <m:sub>
            <m:r>
              <m:t>i</m:t>
            </m:r>
            <m:r>
              <m:t>j</m:t>
            </m:r>
          </m:sub>
        </m:sSub>
      </m:oMath>
      <w:r>
        <w:t xml:space="preserve"> </w:t>
      </w:r>
      <w:r>
        <w:rPr>
          <w:rFonts w:hint="eastAsia"/>
        </w:rPr>
        <w:t xml:space="preserve">と区別できるため、</w:t>
      </w:r>
      <m:oMath>
        <m:sSup>
          <m:e>
            <m:r>
              <m:t>g</m:t>
            </m:r>
          </m:e>
          <m:sup>
            <m:r>
              <m:t>i</m:t>
            </m:r>
            <m:r>
              <m:t>j</m:t>
            </m:r>
          </m:sup>
        </m:sSup>
      </m:oMath>
      <w:r>
        <w:t xml:space="preserve"> </w:t>
      </w:r>
      <w:r>
        <w:rPr>
          <w:rFonts w:hint="eastAsia"/>
        </w:rPr>
        <w:t xml:space="preserve">とシンプルに書くことができます。</w:t>
      </w:r>
    </w:p>
    <w:p>
      <w:pPr>
        <w:pStyle w:val="BodyText"/>
      </w:pPr>
      <w:r>
        <w:rPr>
          <w:rFonts w:hint="eastAsia"/>
          <w:b/>
          <w:bCs/>
        </w:rPr>
        <w:t xml:space="preserve">ノルムと計量テンソル</w:t>
      </w:r>
      <w:r>
        <w:t xml:space="preserve"> </w:t>
      </w:r>
      <w:r>
        <w:rPr>
          <w:rFonts w:hint="eastAsia"/>
        </w:rPr>
        <w:t xml:space="preserve">位置ベクトル</w:t>
      </w:r>
      <w:r>
        <w:t xml:space="preserve"> </w:t>
      </w:r>
      <m:oMath>
        <m:r>
          <m:rPr>
            <m:sty m:val="b"/>
          </m:rPr>
          <m:t>r</m:t>
        </m:r>
      </m:oMath>
      <w:r>
        <w:t xml:space="preserve"> </w:t>
      </w:r>
      <w:r>
        <w:rPr>
          <w:rFonts w:hint="eastAsia"/>
        </w:rPr>
        <w:t xml:space="preserve">の長さの二乗（ノルムの二乗）は、内積</w:t>
      </w:r>
      <w:r>
        <w:t xml:space="preserve"> </w:t>
      </w:r>
      <m:oMath>
        <m:r>
          <m:rPr>
            <m:sty m:val="b"/>
          </m:rPr>
          <m:t>r</m:t>
        </m:r>
        <m:r>
          <m:rPr>
            <m:sty m:val="p"/>
          </m:rPr>
          <m:t>⋅</m:t>
        </m:r>
        <m:r>
          <m:rPr>
            <m:sty m:val="b"/>
          </m:rPr>
          <m:t>r</m:t>
        </m:r>
      </m:oMath>
      <w:r>
        <w:t xml:space="preserve"> </w:t>
      </w:r>
      <w:r>
        <w:rPr>
          <w:rFonts w:hint="eastAsia"/>
        </w:rPr>
        <w:t xml:space="preserve">で与えられます。アインシュタインの縮約記法を用いると、</w:t>
      </w:r>
    </w:p>
    <w:p>
      <w:pPr>
        <w:pStyle w:val="BodyText"/>
      </w:pPr>
      <m:oMathPara>
        <m:oMathParaPr>
          <m:jc m:val="center"/>
        </m:oMathParaPr>
        <m:oMath>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r>
            <m:rPr>
              <m:sty m:val="p"/>
            </m:rPr>
            <m:t>(</m:t>
          </m:r>
          <m:sSub>
            <m:e>
              <m:r>
                <m:rPr>
                  <m:sty m:val="b"/>
                </m:rPr>
                <m:t>a</m:t>
              </m:r>
            </m:e>
            <m:sub>
              <m:r>
                <m:t>i</m:t>
              </m:r>
            </m:sub>
          </m:sSub>
          <m:r>
            <m:rPr>
              <m:sty m:val="p"/>
            </m:rPr>
            <m:t>⋅</m:t>
          </m:r>
          <m:sSub>
            <m:e>
              <m:r>
                <m:rPr>
                  <m:sty m:val="b"/>
                </m:rPr>
                <m:t>a</m:t>
              </m:r>
            </m:e>
            <m:sub>
              <m:r>
                <m:t>j</m:t>
              </m:r>
            </m:sub>
          </m:sSub>
          <m:r>
            <m:rPr>
              <m:sty m:val="p"/>
            </m:rPr>
            <m:t>)</m:t>
          </m:r>
          <m:sSup>
            <m:e>
              <m:r>
                <m:t>x</m:t>
              </m:r>
            </m:e>
            <m:sup>
              <m:r>
                <m:t>i</m:t>
              </m:r>
            </m:sup>
          </m:sSup>
          <m:sSup>
            <m:e>
              <m:r>
                <m:t>x</m:t>
              </m:r>
            </m:e>
            <m:sup>
              <m:r>
                <m:t>j</m:t>
              </m:r>
            </m:sup>
          </m:sSup>
          <m:r>
            <m:rPr>
              <m:sty m:val="p"/>
            </m:rPr>
            <m:t>=</m:t>
          </m:r>
          <m:sSub>
            <m:e>
              <m:r>
                <m:t>g</m:t>
              </m:r>
            </m:e>
            <m:sub>
              <m:r>
                <m:t>i</m:t>
              </m:r>
              <m:r>
                <m:t>j</m:t>
              </m:r>
            </m:sub>
          </m:sSub>
          <m:sSup>
            <m:e>
              <m:r>
                <m:t>x</m:t>
              </m:r>
            </m:e>
            <m:sup>
              <m:r>
                <m:t>i</m:t>
              </m:r>
            </m:sup>
          </m:sSup>
          <m:sSup>
            <m:e>
              <m:r>
                <m:t>x</m:t>
              </m:r>
            </m:e>
            <m:sup>
              <m:r>
                <m:t>j</m:t>
              </m:r>
            </m:sup>
          </m:sSup>
        </m:oMath>
      </m:oMathPara>
    </w:p>
    <w:p>
      <w:pPr>
        <w:pStyle w:val="FirstParagraph"/>
      </w:pPr>
      <w:r>
        <w:rPr>
          <w:rFonts w:hint="eastAsia"/>
        </w:rPr>
        <w:t xml:space="preserve">この式では、添え字</w:t>
      </w:r>
      <w:r>
        <w:t xml:space="preserve"> </w:t>
      </w:r>
      <m:oMath>
        <m:r>
          <m:t>i</m:t>
        </m:r>
      </m:oMath>
      <w:r>
        <w:t xml:space="preserve"> </w:t>
      </w:r>
      <w:r>
        <w:t xml:space="preserve">と</w:t>
      </w:r>
      <w:r>
        <w:t xml:space="preserve"> </w:t>
      </w:r>
      <m:oMath>
        <m:r>
          <m:t>j</m:t>
        </m:r>
      </m:oMath>
      <w:r>
        <w:t xml:space="preserve"> </w:t>
      </w:r>
      <w:r>
        <w:rPr>
          <w:rFonts w:hint="eastAsia"/>
        </w:rPr>
        <w:t xml:space="preserve">が上下にペアで現れているため、ノルムの二乗</w:t>
      </w:r>
      <w:r>
        <w:t xml:space="preserve"> </w:t>
      </w:r>
      <m:oMath>
        <m:sSub>
          <m:e>
            <m:r>
              <m:t>g</m:t>
            </m:r>
          </m:e>
          <m:sub>
            <m:r>
              <m:t>i</m:t>
            </m:r>
            <m:r>
              <m:t>j</m:t>
            </m:r>
          </m:sub>
        </m:sSub>
        <m:sSup>
          <m:e>
            <m:r>
              <m:t>x</m:t>
            </m:r>
          </m:e>
          <m:sup>
            <m:r>
              <m:t>i</m:t>
            </m:r>
          </m:sup>
        </m:sSup>
        <m:sSup>
          <m:e>
            <m:r>
              <m:t>x</m:t>
            </m:r>
          </m:e>
          <m:sup>
            <m:r>
              <m:t>j</m:t>
            </m:r>
          </m:sup>
        </m:sSup>
      </m:oMath>
      <w:r>
        <w:t xml:space="preserve"> </w:t>
      </w:r>
      <w:r>
        <w:rPr>
          <w:rFonts w:hint="eastAsia"/>
        </w:rPr>
        <w:t xml:space="preserve">が座標変換に対して不変量（スカラー）であることが一目でわかります。</w:t>
      </w:r>
    </w:p>
    <w:bookmarkEnd w:id="18"/>
    <w:bookmarkStart w:id="19" w:name="物性テンソルと共変性"/>
    <w:p>
      <w:pPr>
        <w:pStyle w:val="Heading3"/>
      </w:pPr>
      <w:r>
        <w:t xml:space="preserve">2.5 </w:t>
      </w:r>
      <w:r>
        <w:rPr>
          <w:rFonts w:hint="eastAsia"/>
        </w:rPr>
        <w:t xml:space="preserve">物性テンソルと共変性</w:t>
      </w:r>
    </w:p>
    <w:p>
      <w:pPr>
        <w:pStyle w:val="FirstParagraph"/>
      </w:pPr>
      <w:r>
        <w:rPr>
          <w:rFonts w:hint="eastAsia"/>
        </w:rPr>
        <w:t xml:space="preserve">物理法則や物性方程式を共変形式のテンソル方程式で表現することには、大きなメリットがあります。</w:t>
      </w:r>
    </w:p>
    <w:p>
      <w:pPr>
        <w:pStyle w:val="BodyText"/>
      </w:pPr>
      <w:r>
        <w:rPr>
          <w:rFonts w:hint="eastAsia"/>
          <w:b/>
          <w:bCs/>
        </w:rPr>
        <w:t xml:space="preserve">方程式の共変性</w:t>
      </w:r>
      <w:r>
        <w:t xml:space="preserve"> </w:t>
      </w:r>
      <w:r>
        <w:rPr>
          <w:rFonts w:hint="eastAsia"/>
        </w:rPr>
        <w:t xml:space="preserve">もしある方程式の左辺と右辺が同じ型のテンソル（つまり、同じ添え字構造）であれば、両辺が同じ変換則に従うことが自明となります。このような方程式を「座標変換に対して共変（covariant）である」と言います。</w:t>
      </w:r>
    </w:p>
    <w:p>
      <w:pPr>
        <w:pStyle w:val="BodyText"/>
      </w:pPr>
      <w:r>
        <w:rPr>
          <w:rFonts w:hint="eastAsia"/>
        </w:rPr>
        <w:t xml:space="preserve">私たちが学ぶ物理法則は、何らかの対称性を満たすことが要請されています。例えば、物理法則は座標系の選び方によらず同じ形式で記述されるべきです。このような場合に、ラグランジアンのようなスカラー量で表現するか、共変形式のテンソル方程式で表現することで、その方程式が要請されている対称性を満たしているかどうかを一目で確認できます。</w:t>
      </w:r>
    </w:p>
    <w:p>
      <w:pPr>
        <w:pStyle w:val="Compact"/>
        <w:numPr>
          <w:ilvl w:val="0"/>
          <w:numId w:val="1009"/>
        </w:numPr>
      </w:pPr>
      <w:r>
        <w:rPr>
          <w:rFonts w:hint="eastAsia"/>
          <w:b/>
          <w:bCs/>
        </w:rPr>
        <w:t xml:space="preserve">特殊相対性理論</w:t>
      </w:r>
      <w:r>
        <w:t xml:space="preserve">や</w:t>
      </w:r>
      <w:r>
        <w:rPr>
          <w:rFonts w:hint="eastAsia"/>
          <w:b/>
          <w:bCs/>
        </w:rPr>
        <w:t xml:space="preserve">マクスウェルの方程式</w:t>
      </w:r>
      <w:r>
        <w:rPr>
          <w:rFonts w:hint="eastAsia"/>
        </w:rPr>
        <w:t xml:space="preserve">は、ローレンツ変換に対して共変です。</w:t>
      </w:r>
    </w:p>
    <w:p>
      <w:pPr>
        <w:pStyle w:val="Compact"/>
        <w:numPr>
          <w:ilvl w:val="0"/>
          <w:numId w:val="1009"/>
        </w:numPr>
      </w:pPr>
      <w:r>
        <w:rPr>
          <w:rFonts w:hint="eastAsia"/>
          <w:b/>
          <w:bCs/>
        </w:rPr>
        <w:t xml:space="preserve">一般相対性理論</w:t>
      </w:r>
      <w:r>
        <w:rPr>
          <w:rFonts w:hint="eastAsia"/>
        </w:rPr>
        <w:t xml:space="preserve">は、さらに一般座標変換に対して共変な理論です。</w:t>
      </w:r>
    </w:p>
    <w:p>
      <w:pPr>
        <w:pStyle w:val="Compact"/>
        <w:numPr>
          <w:ilvl w:val="0"/>
          <w:numId w:val="1009"/>
        </w:numPr>
      </w:pPr>
      <w:r>
        <w:rPr>
          <w:rFonts w:hint="eastAsia"/>
          <w:b/>
          <w:bCs/>
        </w:rPr>
        <w:t xml:space="preserve">超弦理論</w:t>
      </w:r>
      <w:r>
        <w:rPr>
          <w:rFonts w:hint="eastAsia"/>
        </w:rPr>
        <w:t xml:space="preserve">では、ローレンツ共変性や超対称性変換に対する不変性などが要請されます。</w:t>
      </w:r>
    </w:p>
    <w:p>
      <w:pPr>
        <w:pStyle w:val="Compact"/>
        <w:numPr>
          <w:ilvl w:val="0"/>
          <w:numId w:val="1009"/>
        </w:numPr>
      </w:pPr>
      <w:r>
        <w:rPr>
          <w:rFonts w:hint="eastAsia"/>
          <w:b/>
          <w:bCs/>
        </w:rPr>
        <w:t xml:space="preserve">ニュートンの運動方程式</w:t>
      </w:r>
      <w:r>
        <w:rPr>
          <w:rFonts w:hint="eastAsia"/>
        </w:rPr>
        <w:t xml:space="preserve">は、ガリレイ変換に対して不変です。</w:t>
      </w:r>
    </w:p>
    <w:p>
      <w:pPr>
        <w:pStyle w:val="FirstParagraph"/>
      </w:pPr>
      <w:r>
        <w:rPr>
          <w:rFonts w:hint="eastAsia"/>
        </w:rPr>
        <w:t xml:space="preserve">このように、共変・反変の概念を用いて物理方程式を整理すると、非常に見通しが良くなります。</w:t>
      </w:r>
    </w:p>
    <w:p>
      <w:pPr>
        <w:pStyle w:val="BodyText"/>
      </w:pPr>
      <w:r>
        <w:rPr>
          <w:rFonts w:hint="eastAsia"/>
          <w:b/>
          <w:bCs/>
        </w:rPr>
        <w:t xml:space="preserve">未知のベクトル・テンソル成分の判別</w:t>
      </w:r>
    </w:p>
    <w:p>
      <w:pPr>
        <w:pStyle w:val="BodyText"/>
      </w:pPr>
      <w:r>
        <w:rPr>
          <w:rFonts w:hint="eastAsia"/>
        </w:rPr>
        <w:t xml:space="preserve">添え字規則を使うと、未知のベクトルやテンソル成分が共変か反変かを判別できます。例えば、実格子の基本ベクトル間の変換行列を考えてみましょう。</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アインシュタインの縮約記法と添え字規則に従うと、これは以下のように書き直すことができます。</w:t>
      </w:r>
    </w:p>
    <w:p>
      <w:pPr>
        <w:pStyle w:val="BodyText"/>
      </w:pPr>
      <m:oMathPara>
        <m:oMathParaPr>
          <m:jc m:val="center"/>
        </m:oMathParaPr>
        <m:oMath>
          <m:sSub>
            <m:e>
              <m:sSup>
                <m:e>
                  <m:r>
                    <m:rPr>
                      <m:sty m:val="b"/>
                    </m:rPr>
                    <m:t>a</m:t>
                  </m:r>
                </m:e>
                <m:sup>
                  <m:r>
                    <m:rPr>
                      <m:sty m:val="p"/>
                    </m:rPr>
                    <m:t>′</m:t>
                  </m:r>
                </m:sup>
              </m:sSup>
            </m:e>
            <m:sub>
              <m:r>
                <m:t>i</m:t>
              </m:r>
            </m:sub>
          </m:sSub>
          <m:r>
            <m:rPr>
              <m:sty m:val="p"/>
            </m:rPr>
            <m:t>=</m:t>
          </m:r>
          <m:sSub>
            <m:e>
              <m:r>
                <m:t>t</m:t>
              </m:r>
            </m:e>
            <m:sub>
              <m:r>
                <m:t>i</m:t>
              </m:r>
            </m:sub>
          </m:sSub>
          <m:sSup>
            <m:e>
              <m:r>
                <m:t>​</m:t>
              </m:r>
            </m:e>
            <m:sup>
              <m:r>
                <m:t>j</m:t>
              </m:r>
            </m:sup>
          </m:sSup>
          <m:sSub>
            <m:e>
              <m:r>
                <m:rPr>
                  <m:sty m:val="b"/>
                </m:rPr>
                <m:t>a</m:t>
              </m:r>
            </m:e>
            <m:sub>
              <m:r>
                <m:t>j</m:t>
              </m:r>
            </m:sub>
          </m:sSub>
        </m:oMath>
      </m:oMathPara>
    </w:p>
    <w:p>
      <w:pPr>
        <w:pStyle w:val="FirstParagraph"/>
      </w:pPr>
      <w:r>
        <w:t xml:space="preserve">ここで、</w:t>
      </w:r>
      <m:oMath>
        <m:sSub>
          <m:e>
            <m:r>
              <m:t>t</m:t>
            </m:r>
          </m:e>
          <m:sub>
            <m:r>
              <m:t>i</m:t>
            </m:r>
          </m:sub>
        </m:sSub>
        <m:sSup>
          <m:e>
            <m:r>
              <m:t>​</m:t>
            </m:r>
          </m:e>
          <m:sup>
            <m:r>
              <m:t>j</m:t>
            </m:r>
          </m:sup>
        </m:sSup>
      </m:oMath>
      <w:r>
        <w:t xml:space="preserve"> </w:t>
      </w:r>
      <w:r>
        <w:rPr>
          <w:rFonts w:hint="eastAsia"/>
        </w:rPr>
        <w:t xml:space="preserve">は変換行列の成分を示しますが、左辺の</w:t>
      </w:r>
      <w:r>
        <w:t xml:space="preserve"> </w:t>
      </w:r>
      <m:oMath>
        <m:sSub>
          <m:e>
            <m:sSup>
              <m:e>
                <m:r>
                  <m:rPr>
                    <m:sty m:val="b"/>
                  </m:rPr>
                  <m:t>a</m:t>
                </m:r>
              </m:e>
              <m:sup>
                <m:r>
                  <m:rPr>
                    <m:sty m:val="p"/>
                  </m:rPr>
                  <m:t>′</m:t>
                </m:r>
              </m:sup>
            </m:sSup>
          </m:e>
          <m:sub>
            <m:r>
              <m:t>i</m:t>
            </m:r>
          </m:sub>
        </m:sSub>
      </m:oMath>
      <w:r>
        <w:t xml:space="preserve"> </w:t>
      </w:r>
      <w:r>
        <w:rPr>
          <w:rFonts w:hint="eastAsia"/>
        </w:rPr>
        <w:t xml:space="preserve">が共変ベクトル（下付き添え字）、右辺の</w:t>
      </w:r>
      <w:r>
        <w:t xml:space="preserve"> </w:t>
      </w:r>
      <m:oMath>
        <m:sSub>
          <m:e>
            <m:r>
              <m:rPr>
                <m:sty m:val="b"/>
              </m:rPr>
              <m:t>a</m:t>
            </m:r>
          </m:e>
          <m:sub>
            <m:r>
              <m:t>j</m:t>
            </m:r>
          </m:sub>
        </m:sSub>
      </m:oMath>
      <w:r>
        <w:t xml:space="preserve"> </w:t>
      </w:r>
      <w:r>
        <w:rPr>
          <w:rFonts w:hint="eastAsia"/>
        </w:rPr>
        <w:t xml:space="preserve">も共変ベクトル（下付き添え字）であることから、この変換行列は「添え字</w:t>
      </w:r>
      <w:r>
        <w:t xml:space="preserve"> </w:t>
      </w:r>
      <m:oMath>
        <m:r>
          <m:t>i</m:t>
        </m:r>
      </m:oMath>
      <w:r>
        <w:t xml:space="preserve"> </w:t>
      </w:r>
      <w:r>
        <w:rPr>
          <w:rFonts w:hint="eastAsia"/>
        </w:rPr>
        <w:t xml:space="preserve">が下付き、添え字</w:t>
      </w:r>
      <w:r>
        <w:t xml:space="preserve"> </w:t>
      </w:r>
      <m:oMath>
        <m:r>
          <m:t>j</m:t>
        </m:r>
      </m:oMath>
      <w:r>
        <w:t xml:space="preserve"> </w:t>
      </w:r>
      <w:r>
        <w:rPr>
          <w:rFonts w:hint="eastAsia"/>
        </w:rPr>
        <w:t xml:space="preserve">が上付き」となるような、</w:t>
      </w:r>
      <m:oMath>
        <m:sSub>
          <m:e>
            <m:r>
              <m:t>t</m:t>
            </m:r>
          </m:e>
          <m:sub>
            <m:r>
              <m:t>i</m:t>
            </m:r>
          </m:sub>
        </m:sSub>
        <m:sSup>
          <m:e>
            <m:r>
              <m:t>​</m:t>
            </m:r>
          </m:e>
          <m:sup>
            <m:r>
              <m:t>j</m:t>
            </m:r>
          </m:sup>
        </m:sSup>
      </m:oMath>
      <w:r>
        <w:t xml:space="preserve"> </w:t>
      </w:r>
      <w:r>
        <w:rPr>
          <w:rFonts w:hint="eastAsia"/>
        </w:rPr>
        <w:t xml:space="preserve">の形式を持つ</w:t>
      </w:r>
      <w:r>
        <w:rPr>
          <w:rFonts w:hint="eastAsia"/>
          <w:b/>
          <w:bCs/>
        </w:rPr>
        <w:t xml:space="preserve">2階混合テンソル</w:t>
      </w:r>
      <w:r>
        <w:t xml:space="preserve">であることがわかります。</w:t>
      </w:r>
    </w:p>
    <w:p>
      <w:pPr>
        <w:pStyle w:val="BodyText"/>
      </w:pPr>
      <w:r>
        <w:rPr>
          <w:rFonts w:hint="eastAsia"/>
        </w:rPr>
        <w:t xml:space="preserve">同様に、逆格子の基本ベクトル間の変換行列は、反変成分と共変成分を一つずつ持つ2階混合テンソルであることがわかります。添え字の位置が異なることで、同じ記号</w:t>
      </w:r>
      <w:r>
        <w:t xml:space="preserve"> </w:t>
      </w:r>
      <m:oMath>
        <m:r>
          <m:t>t</m:t>
        </m:r>
      </m:oMath>
      <w:r>
        <w:t xml:space="preserve"> </w:t>
      </w:r>
      <w:r>
        <w:rPr>
          <w:rFonts w:hint="eastAsia"/>
        </w:rPr>
        <w:t xml:space="preserve">を使っても、実格子間の変換行列と逆格子間の変換行列を明確に区別できます。</w:t>
      </w:r>
    </w:p>
    <w:p>
      <w:pPr>
        <w:pStyle w:val="BodyText"/>
      </w:pPr>
      <w:r>
        <w:rPr>
          <w:rFonts w:hint="eastAsia"/>
          <w:b/>
          <w:bCs/>
        </w:rPr>
        <w:t xml:space="preserve">計量テンソルによる添え字の上げ下げ</w:t>
      </w:r>
    </w:p>
    <w:p>
      <w:pPr>
        <w:pStyle w:val="BodyText"/>
      </w:pPr>
      <w:r>
        <w:rPr>
          <w:rFonts w:hint="eastAsia"/>
        </w:rPr>
        <w:t xml:space="preserve">計量テンソル</w:t>
      </w:r>
      <w:r>
        <w:t xml:space="preserve"> </w:t>
      </w:r>
      <m:oMath>
        <m:sSub>
          <m:e>
            <m:r>
              <m:t>g</m:t>
            </m:r>
          </m:e>
          <m:sub>
            <m:r>
              <m:t>i</m:t>
            </m:r>
            <m:r>
              <m:t>j</m:t>
            </m:r>
          </m:sub>
        </m:sSub>
      </m:oMath>
      <w:r>
        <w:t xml:space="preserve"> </w:t>
      </w:r>
      <w:r>
        <w:rPr>
          <w:rFonts w:hint="eastAsia"/>
        </w:rPr>
        <w:t xml:space="preserve">(共変テンソル)</w:t>
      </w:r>
      <w:r>
        <w:t xml:space="preserve"> と</w:t>
      </w:r>
      <w:r>
        <w:t xml:space="preserve"> </w:t>
      </w:r>
      <m:oMath>
        <m:sSup>
          <m:e>
            <m:r>
              <m:t>g</m:t>
            </m:r>
          </m:e>
          <m:sup>
            <m:r>
              <m:t>i</m:t>
            </m:r>
            <m:r>
              <m:t>j</m:t>
            </m:r>
          </m:sup>
        </m:sSup>
      </m:oMath>
      <w:r>
        <w:t xml:space="preserve"> </w:t>
      </w:r>
      <w:r>
        <w:rPr>
          <w:rFonts w:hint="eastAsia"/>
        </w:rPr>
        <w:t xml:space="preserve">(反変テンソル)</w:t>
      </w:r>
      <w:r>
        <w:t xml:space="preserve"> </w:t>
      </w:r>
      <w:r>
        <w:rPr>
          <w:rFonts w:hint="eastAsia"/>
        </w:rPr>
        <w:t xml:space="preserve">は、共変成分と反変成分を相互に変換する役割を持っています。</w:t>
      </w:r>
      <w:r>
        <w:t xml:space="preserve"> </w:t>
      </w:r>
      <w:r>
        <w:rPr>
          <w:rFonts w:hint="eastAsia"/>
        </w:rPr>
        <w:t xml:space="preserve">例えば、反変ベクトル</w:t>
      </w:r>
      <w:r>
        <w:t xml:space="preserve"> </w:t>
      </w:r>
      <m:oMath>
        <m:sSup>
          <m:e>
            <m:r>
              <m:t>V</m:t>
            </m:r>
          </m:e>
          <m:sup>
            <m:r>
              <m:t>i</m:t>
            </m:r>
          </m:sup>
        </m:sSup>
      </m:oMath>
      <w:r>
        <w:t xml:space="preserve"> </w:t>
      </w:r>
      <w:r>
        <w:rPr>
          <w:rFonts w:hint="eastAsia"/>
        </w:rPr>
        <w:t xml:space="preserve">から共変ベクトル</w:t>
      </w:r>
      <w:r>
        <w:t xml:space="preserve"> </w:t>
      </w:r>
      <m:oMath>
        <m:sSub>
          <m:e>
            <m:r>
              <m:t>V</m:t>
            </m:r>
          </m:e>
          <m:sub>
            <m:r>
              <m:t>i</m:t>
            </m:r>
          </m:sub>
        </m:sSub>
      </m:oMath>
      <w:r>
        <w:t xml:space="preserve"> </w:t>
      </w:r>
      <w:r>
        <w:t xml:space="preserve">へは、</w:t>
      </w:r>
    </w:p>
    <w:p>
      <w:pPr>
        <w:pStyle w:val="BodyText"/>
      </w:pPr>
      <m:oMathPara>
        <m:oMathParaPr>
          <m:jc m:val="center"/>
        </m:oMathParaPr>
        <m:oMath>
          <m:sSub>
            <m:e>
              <m:r>
                <m:t>V</m:t>
              </m:r>
            </m:e>
            <m:sub>
              <m:r>
                <m:t>i</m:t>
              </m:r>
            </m:sub>
          </m:sSub>
          <m:r>
            <m:rPr>
              <m:sty m:val="p"/>
            </m:rPr>
            <m:t>=</m:t>
          </m:r>
          <m:sSub>
            <m:e>
              <m:r>
                <m:t>g</m:t>
              </m:r>
            </m:e>
            <m:sub>
              <m:r>
                <m:t>i</m:t>
              </m:r>
              <m:r>
                <m:t>j</m:t>
              </m:r>
            </m:sub>
          </m:sSub>
          <m:sSup>
            <m:e>
              <m:r>
                <m:t>V</m:t>
              </m:r>
            </m:e>
            <m:sup>
              <m:r>
                <m:t>j</m:t>
              </m:r>
            </m:sup>
          </m:sSup>
        </m:oMath>
      </m:oMathPara>
    </w:p>
    <w:p>
      <w:pPr>
        <w:pStyle w:val="FirstParagraph"/>
      </w:pPr>
      <w:r>
        <w:rPr>
          <w:rFonts w:hint="eastAsia"/>
        </w:rPr>
        <w:t xml:space="preserve">共変ベクトル</w:t>
      </w:r>
      <w:r>
        <w:t xml:space="preserve"> </w:t>
      </w:r>
      <m:oMath>
        <m:sSub>
          <m:e>
            <m:r>
              <m:t>V</m:t>
            </m:r>
          </m:e>
          <m:sub>
            <m:r>
              <m:t>i</m:t>
            </m:r>
          </m:sub>
        </m:sSub>
      </m:oMath>
      <w:r>
        <w:t xml:space="preserve"> </w:t>
      </w:r>
      <w:r>
        <w:rPr>
          <w:rFonts w:hint="eastAsia"/>
        </w:rPr>
        <w:t xml:space="preserve">から反変ベクトル</w:t>
      </w:r>
      <w:r>
        <w:t xml:space="preserve"> </w:t>
      </w:r>
      <m:oMath>
        <m:sSup>
          <m:e>
            <m:r>
              <m:t>V</m:t>
            </m:r>
          </m:e>
          <m:sup>
            <m:r>
              <m:t>i</m:t>
            </m:r>
          </m:sup>
        </m:sSup>
      </m:oMath>
      <w:r>
        <w:t xml:space="preserve"> </w:t>
      </w:r>
      <w:r>
        <w:t xml:space="preserve">へは、</w:t>
      </w:r>
    </w:p>
    <w:p>
      <w:pPr>
        <w:pStyle w:val="BodyText"/>
      </w:pPr>
      <m:oMathPara>
        <m:oMathParaPr>
          <m:jc m:val="center"/>
        </m:oMathParaPr>
        <m:oMath>
          <m:sSup>
            <m:e>
              <m:r>
                <m:t>V</m:t>
              </m:r>
            </m:e>
            <m:sup>
              <m:r>
                <m:t>i</m:t>
              </m:r>
            </m:sup>
          </m:sSup>
          <m:r>
            <m:rPr>
              <m:sty m:val="p"/>
            </m:rPr>
            <m:t>=</m:t>
          </m:r>
          <m:sSup>
            <m:e>
              <m:r>
                <m:t>g</m:t>
              </m:r>
            </m:e>
            <m:sup>
              <m:r>
                <m:t>i</m:t>
              </m:r>
              <m:r>
                <m:t>j</m:t>
              </m:r>
            </m:sup>
          </m:sSup>
          <m:sSub>
            <m:e>
              <m:r>
                <m:t>V</m:t>
              </m:r>
            </m:e>
            <m:sub>
              <m:r>
                <m:t>j</m:t>
              </m:r>
            </m:sub>
          </m:sSub>
        </m:oMath>
      </m:oMathPara>
    </w:p>
    <w:p>
      <w:pPr>
        <w:pStyle w:val="FirstParagraph"/>
      </w:pPr>
      <w:r>
        <w:rPr>
          <w:rFonts w:hint="eastAsia"/>
        </w:rPr>
        <w:t xml:space="preserve">この関係は、前述の</w:t>
      </w:r>
      <w:r>
        <w:t xml:space="preserve"> </w:t>
      </w:r>
      <m:oMath>
        <m:sSup>
          <m:e>
            <m:r>
              <m:rPr>
                <m:sty m:val="b"/>
              </m:rPr>
              <m:t>a</m:t>
            </m:r>
          </m:e>
          <m:sup>
            <m:r>
              <m:rPr>
                <m:sty m:val="p"/>
              </m:rPr>
              <m:t>*</m:t>
            </m:r>
            <m:r>
              <m:t>i</m:t>
            </m:r>
          </m:sup>
        </m:sSup>
        <m:r>
          <m:rPr>
            <m:sty m:val="p"/>
          </m:rPr>
          <m:t>=</m:t>
        </m:r>
        <m:sSup>
          <m:e>
            <m:r>
              <m:t>g</m:t>
            </m:r>
          </m:e>
          <m:sup>
            <m:r>
              <m:t>i</m:t>
            </m:r>
            <m:r>
              <m:t>j</m:t>
            </m:r>
          </m:sup>
        </m:sSup>
        <m:sSub>
          <m:e>
            <m:r>
              <m:rPr>
                <m:sty m:val="b"/>
              </m:rPr>
              <m:t>a</m:t>
            </m:r>
          </m:e>
          <m:sub>
            <m:r>
              <m:t>j</m:t>
            </m:r>
          </m:sub>
        </m:sSub>
      </m:oMath>
      <w:r>
        <w:t xml:space="preserve"> </w:t>
      </w:r>
      <w:r>
        <w:rPr>
          <w:rFonts w:hint="eastAsia"/>
        </w:rPr>
        <w:t xml:space="preserve">と同じ形式です。ここで、</w:t>
      </w:r>
      <m:oMath>
        <m:sSub>
          <m:e>
            <m:r>
              <m:rPr>
                <m:sty m:val="b"/>
              </m:rPr>
              <m:t>a</m:t>
            </m:r>
          </m:e>
          <m:sub>
            <m:r>
              <m:t>j</m:t>
            </m:r>
          </m:sub>
        </m:sSub>
      </m:oMath>
      <w:r>
        <w:t xml:space="preserve"> </w:t>
      </w:r>
      <w:r>
        <w:rPr>
          <w:rFonts w:hint="eastAsia"/>
        </w:rPr>
        <w:t xml:space="preserve">は共変ベクトル、</w:t>
      </w:r>
      <m:oMath>
        <m:sSup>
          <m:e>
            <m:r>
              <m:rPr>
                <m:sty m:val="b"/>
              </m:rPr>
              <m:t>a</m:t>
            </m:r>
          </m:e>
          <m:sup>
            <m:r>
              <m:rPr>
                <m:sty m:val="p"/>
              </m:rPr>
              <m:t>*</m:t>
            </m:r>
            <m:r>
              <m:t>i</m:t>
            </m:r>
          </m:sup>
        </m:sSup>
      </m:oMath>
      <w:r>
        <w:t xml:space="preserve"> </w:t>
      </w:r>
      <w:r>
        <w:rPr>
          <w:rFonts w:hint="eastAsia"/>
        </w:rPr>
        <w:t xml:space="preserve">は反変ベクトルであり、計量テンソル</w:t>
      </w:r>
      <w:r>
        <w:t xml:space="preserve"> </w:t>
      </w:r>
      <m:oMath>
        <m:sSup>
          <m:e>
            <m:r>
              <m:t>g</m:t>
            </m:r>
          </m:e>
          <m:sup>
            <m:r>
              <m:t>i</m:t>
            </m:r>
            <m:r>
              <m:t>j</m:t>
            </m:r>
          </m:sup>
        </m:sSup>
      </m:oMath>
      <w:r>
        <w:t xml:space="preserve"> </w:t>
      </w:r>
      <w:r>
        <w:rPr>
          <w:rFonts w:hint="eastAsia"/>
        </w:rPr>
        <w:t xml:space="preserve">が共変成分の添え字を反変成分の添え字に「上げている」ことがわかります。</w:t>
      </w:r>
    </w:p>
    <w:p>
      <w:pPr>
        <w:pStyle w:val="BodyText"/>
      </w:pPr>
      <w:r>
        <w:rPr>
          <w:rFonts w:hint="eastAsia"/>
          <w:b/>
          <w:bCs/>
        </w:rPr>
        <w:t xml:space="preserve">微分による共変・反変の変換</w:t>
      </w:r>
    </w:p>
    <w:p>
      <w:pPr>
        <w:pStyle w:val="BodyText"/>
      </w:pPr>
      <w:r>
        <w:rPr>
          <w:rFonts w:hint="eastAsia"/>
        </w:rPr>
        <w:t xml:space="preserve">スカラー関数</w:t>
      </w:r>
      <w:r>
        <w:t xml:space="preserve"> </w:t>
      </w:r>
      <m:oMath>
        <m:r>
          <m:t>F</m:t>
        </m:r>
        <m:r>
          <m:rPr>
            <m:sty m:val="p"/>
          </m:rPr>
          <m:t>(</m:t>
        </m:r>
        <m:sSup>
          <m:e>
            <m:r>
              <m:t>x</m:t>
            </m:r>
          </m:e>
          <m:sup>
            <m:r>
              <m:t>i</m:t>
            </m:r>
          </m:sup>
        </m:sSup>
        <m:r>
          <m:rPr>
            <m:sty m:val="p"/>
          </m:rPr>
          <m:t>)</m:t>
        </m:r>
      </m:oMath>
      <w:r>
        <w:t xml:space="preserve"> </w:t>
      </w:r>
      <w:r>
        <w:rPr>
          <w:rFonts w:hint="eastAsia"/>
        </w:rPr>
        <w:t xml:space="preserve">を反変座標</w:t>
      </w:r>
      <w:r>
        <w:t xml:space="preserve"> </w:t>
      </w:r>
      <m:oMath>
        <m:sSup>
          <m:e>
            <m:r>
              <m:t>x</m:t>
            </m:r>
          </m:e>
          <m:sup>
            <m:r>
              <m:t>i</m:t>
            </m:r>
          </m:sup>
        </m:sSup>
      </m:oMath>
      <w:r>
        <w:t xml:space="preserve"> </w:t>
      </w:r>
      <w:r>
        <w:rPr>
          <w:rFonts w:hint="eastAsia"/>
        </w:rPr>
        <w:t xml:space="preserve">で微分すると、共変ベクトルになります。</w:t>
      </w:r>
    </w:p>
    <w:p>
      <w:pPr>
        <w:pStyle w:val="BodyText"/>
      </w:pPr>
      <m:oMathPara>
        <m:oMathParaPr>
          <m:jc m:val="center"/>
        </m:oMathParaPr>
        <m:oMath>
          <m:f>
            <m:fPr>
              <m:type m:val="bar"/>
            </m:fPr>
            <m:num>
              <m:r>
                <m:rPr>
                  <m:sty m:val="p"/>
                </m:rPr>
                <m:t>∂</m:t>
              </m:r>
              <m:r>
                <m:t>F</m:t>
              </m:r>
            </m:num>
            <m:den>
              <m:r>
                <m:rPr>
                  <m:sty m:val="p"/>
                </m:rPr>
                <m:t>∂</m:t>
              </m:r>
              <m:sSup>
                <m:e>
                  <m:r>
                    <m:t>x</m:t>
                  </m:r>
                </m:e>
                <m:sup>
                  <m:r>
                    <m:t>i</m:t>
                  </m:r>
                </m:sup>
              </m:sSup>
            </m:den>
          </m:f>
        </m:oMath>
      </m:oMathPara>
    </w:p>
    <w:p>
      <w:pPr>
        <w:pStyle w:val="FirstParagraph"/>
      </w:pPr>
      <w:r>
        <w:rPr>
          <w:rFonts w:hint="eastAsia"/>
        </w:rPr>
        <w:t xml:space="preserve">この量を座標変換すると、</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e>
          </m:nary>
          <m:f>
            <m:fPr>
              <m:type m:val="bar"/>
            </m:fPr>
            <m:num>
              <m:r>
                <m:rPr>
                  <m:sty m:val="p"/>
                </m:rPr>
                <m:t>∂</m:t>
              </m:r>
              <m:r>
                <m:t>F</m:t>
              </m:r>
            </m:num>
            <m:den>
              <m:r>
                <m:rPr>
                  <m:sty m:val="p"/>
                </m:rPr>
                <m:t>∂</m:t>
              </m:r>
              <m:sSup>
                <m:e>
                  <m:r>
                    <m:t>x</m:t>
                  </m:r>
                </m:e>
                <m:sup>
                  <m:r>
                    <m:t>j</m:t>
                  </m:r>
                </m:sup>
              </m:sSup>
            </m:den>
          </m:f>
        </m:oMath>
      </m:oMathPara>
    </w:p>
    <w:p>
      <w:pPr>
        <w:pStyle w:val="FirstParagraph"/>
      </w:pPr>
      <w:r>
        <w:t xml:space="preserve">ここで、</w:t>
      </w:r>
      <m:oMath>
        <m:sSup>
          <m:e>
            <m:r>
              <m:t>x</m:t>
            </m:r>
          </m:e>
          <m:sup>
            <m:r>
              <m:t>j</m:t>
            </m:r>
          </m:sup>
        </m:sSup>
      </m:oMath>
      <w:r>
        <w:t xml:space="preserve"> </w:t>
      </w:r>
      <w:r>
        <w:rPr>
          <w:rFonts w:hint="eastAsia"/>
        </w:rPr>
        <w:t xml:space="preserve">は反変座標で、</w:t>
      </w:r>
      <m:oMath>
        <m:sSup>
          <m:e>
            <m:sSup>
              <m:e>
                <m:r>
                  <m:t>x</m:t>
                </m:r>
              </m:e>
              <m:sup>
                <m:r>
                  <m:rPr>
                    <m:sty m:val="p"/>
                  </m:rPr>
                  <m:t>′</m:t>
                </m:r>
              </m:sup>
            </m:sSup>
          </m:e>
          <m:sup>
            <m:r>
              <m:t>i</m:t>
            </m:r>
          </m:sup>
        </m:sSup>
      </m:oMath>
      <w:r>
        <w:t xml:space="preserve"> </w:t>
      </w:r>
      <w:r>
        <w:rPr>
          <w:rFonts w:hint="eastAsia"/>
        </w:rPr>
        <w:t xml:space="preserve">は変換後の反変座標とします。</w:t>
      </w:r>
      <m:oMath>
        <m:sSup>
          <m:e>
            <m:r>
              <m:t>x</m:t>
            </m:r>
          </m:e>
          <m:sup>
            <m:r>
              <m:t>j</m:t>
            </m:r>
          </m:sup>
        </m:sSup>
        <m:r>
          <m:rPr>
            <m:sty m:val="p"/>
          </m:rPr>
          <m:t>=</m:t>
        </m:r>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j</m:t>
            </m:r>
            <m:r>
              <m:t>k</m:t>
            </m:r>
          </m:sub>
        </m:sSub>
        <m:sSup>
          <m:e>
            <m:sSup>
              <m:e>
                <m:r>
                  <m:t>x</m:t>
                </m:r>
              </m:e>
              <m:sup>
                <m:r>
                  <m:rPr>
                    <m:sty m:val="p"/>
                  </m:rPr>
                  <m:t>′</m:t>
                </m:r>
              </m:sup>
            </m:sSup>
          </m:e>
          <m:sup>
            <m:r>
              <m:t>k</m:t>
            </m:r>
          </m:sup>
        </m:sSup>
      </m:oMath>
      <w:r>
        <w:t xml:space="preserve"> </w:t>
      </w:r>
      <w:r>
        <w:t xml:space="preserve">となるため、</w:t>
      </w:r>
    </w:p>
    <w:p>
      <w:pPr>
        <w:pStyle w:val="BodyText"/>
      </w:pPr>
      <m:oMathPara>
        <m:oMathParaPr>
          <m:jc m:val="center"/>
        </m:oMathParaPr>
        <m:oMath>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r>
            <m:rPr>
              <m:sty m:val="p"/>
            </m:rPr>
            <m:t>=</m:t>
          </m:r>
          <m:r>
            <m:rPr>
              <m:sty m:val="p"/>
            </m:rPr>
            <m:t>(</m:t>
          </m:r>
          <m:sSup>
            <m:e>
              <m:r>
                <m:t>T</m:t>
              </m:r>
            </m:e>
            <m:sup>
              <m:r>
                <m:rPr>
                  <m:sty m:val="p"/>
                </m:rPr>
                <m:t>−</m:t>
              </m:r>
              <m:r>
                <m:t>1</m:t>
              </m:r>
            </m:sup>
          </m:sSup>
          <m:sSub>
            <m:e>
              <m:r>
                <m:rPr>
                  <m:sty m:val="p"/>
                </m:rPr>
                <m:t>)</m:t>
              </m:r>
            </m:e>
            <m:sub>
              <m:r>
                <m:t>j</m:t>
              </m:r>
              <m:r>
                <m:t>i</m:t>
              </m:r>
            </m:sub>
          </m:sSub>
        </m:oMath>
      </m:oMathPara>
    </w:p>
    <w:p>
      <w:pPr>
        <w:pStyle w:val="FirstParagraph"/>
      </w:pPr>
      <w:r>
        <w:t xml:space="preserve">したがって、</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これは共変ベクトルの変換則に従うため、スカラー関数を反変座標で微分すると共変ベクトルになる、ということがわかります。</w:t>
      </w:r>
    </w:p>
    <w:p>
      <w:pPr>
        <w:pStyle w:val="BodyText"/>
      </w:pPr>
      <w:r>
        <w:rPr>
          <w:rFonts w:hint="eastAsia"/>
          <w:b/>
          <w:bCs/>
        </w:rPr>
        <w:t xml:space="preserve">物性テンソルの例</w:t>
      </w:r>
      <w:r>
        <w:t xml:space="preserve"> </w:t>
      </w:r>
      <w:r>
        <w:rPr>
          <w:rFonts w:hint="eastAsia"/>
        </w:rPr>
        <w:t xml:space="preserve">具体的な物性テンソルも、この規則に従って分類できます。</w:t>
      </w:r>
      <w:r>
        <w:t xml:space="preserve"> </w:t>
      </w:r>
      <w:r>
        <w:t xml:space="preserve">*</w:t>
      </w:r>
      <w:r>
        <w:t xml:space="preserve"> </w:t>
      </w:r>
      <w:r>
        <w:rPr>
          <w:rFonts w:hint="eastAsia"/>
          <w:b/>
          <w:bCs/>
        </w:rPr>
        <w:t xml:space="preserve">電界ベクトル</w:t>
      </w:r>
      <w:r>
        <w:rPr>
          <w:b/>
          <w:bCs/>
        </w:rPr>
        <w:t xml:space="preserve"> </w:t>
      </w:r>
      <m:oMath>
        <m:r>
          <m:rPr>
            <m:sty m:val="b"/>
          </m:rPr>
          <m:t>E</m:t>
        </m:r>
      </m:oMath>
      <w:r>
        <w:t xml:space="preserve">: </w:t>
      </w:r>
      <w:r>
        <w:rPr>
          <w:rFonts w:hint="eastAsia"/>
        </w:rPr>
        <w:t xml:space="preserve">反変ベクトル</w:t>
      </w:r>
      <w:r>
        <w:t xml:space="preserve"> </w:t>
      </w:r>
      <m:oMath>
        <m:sSup>
          <m:e>
            <m:r>
              <m:t>E</m:t>
            </m:r>
          </m:e>
          <m:sup>
            <m:r>
              <m:t>i</m:t>
            </m:r>
          </m:sup>
        </m:sSup>
      </m:oMath>
      <w:r>
        <w:t xml:space="preserve"> </w:t>
      </w:r>
      <w:r>
        <w:rPr>
          <w:rFonts w:hint="eastAsia"/>
        </w:rPr>
        <w:t xml:space="preserve">で表現されることが多いです。</w:t>
      </w:r>
    </w:p>
    <w:p>
      <w:pPr>
        <w:pStyle w:val="BodyText"/>
      </w:pPr>
      <m:oMathPara>
        <m:oMathParaPr>
          <m:jc m:val="center"/>
        </m:oMathParaPr>
        <m:oMath>
          <m:r>
            <m:rPr>
              <m:sty m:val="b"/>
            </m:rPr>
            <m:t>E</m:t>
          </m:r>
          <m:r>
            <m:rPr>
              <m:sty m:val="p"/>
            </m:rPr>
            <m:t>=</m:t>
          </m:r>
          <m:sSup>
            <m:e>
              <m:r>
                <m:t>E</m:t>
              </m:r>
            </m:e>
            <m:sup>
              <m:r>
                <m:t>i</m:t>
              </m:r>
            </m:sup>
          </m:sSup>
          <m:sSub>
            <m:e>
              <m:r>
                <m:rPr>
                  <m:sty m:val="b"/>
                </m:rPr>
                <m:t>e</m:t>
              </m:r>
            </m:e>
            <m:sub>
              <m:r>
                <m:t>i</m:t>
              </m:r>
            </m:sub>
          </m:sSub>
        </m:oMath>
      </m:oMathPara>
    </w:p>
    <w:p>
      <w:pPr>
        <w:pStyle w:val="FirstParagraph"/>
      </w:pPr>
      <w:r>
        <w:t xml:space="preserve">ここで</w:t>
      </w:r>
      <w:r>
        <w:t xml:space="preserve"> </w:t>
      </w:r>
      <m:oMath>
        <m:sSub>
          <m:e>
            <m:r>
              <m:rPr>
                <m:sty m:val="b"/>
              </m:rPr>
              <m:t>e</m:t>
            </m:r>
          </m:e>
          <m:sub>
            <m:r>
              <m:t>i</m:t>
            </m:r>
          </m:sub>
        </m:sSub>
      </m:oMath>
      <w:r>
        <w:t xml:space="preserve"> </w:t>
      </w:r>
      <w:r>
        <w:rPr>
          <w:rFonts w:hint="eastAsia"/>
        </w:rPr>
        <w:t xml:space="preserve">はデカルト座標系の基底ベクトルです。</w:t>
      </w:r>
      <w:r>
        <w:t xml:space="preserve"> </w:t>
      </w:r>
      <w:r>
        <w:t xml:space="preserve">*</w:t>
      </w:r>
      <w:r>
        <w:t xml:space="preserve"> </w:t>
      </w:r>
      <w:r>
        <w:rPr>
          <w:rFonts w:hint="eastAsia"/>
          <w:b/>
          <w:bCs/>
        </w:rPr>
        <w:t xml:space="preserve">誘電率テンソル</w:t>
      </w:r>
      <w:r>
        <w:rPr>
          <w:b/>
          <w:bCs/>
        </w:rPr>
        <w:t xml:space="preserve"> </w:t>
      </w:r>
      <m:oMath>
        <m:sSub>
          <m:e>
            <m:r>
              <m:t>ϵ</m:t>
            </m:r>
          </m:e>
          <m:sub>
            <m:r>
              <m:t>i</m:t>
            </m:r>
            <m:r>
              <m:t>j</m:t>
            </m:r>
          </m:sub>
        </m:sSub>
      </m:oMath>
      <w:r>
        <w:t xml:space="preserve">: </w:t>
      </w:r>
      <w:r>
        <w:rPr>
          <w:rFonts w:hint="eastAsia"/>
        </w:rPr>
        <w:t xml:space="preserve">自由エネルギー</w:t>
      </w:r>
      <w:r>
        <w:t xml:space="preserve"> </w:t>
      </w:r>
      <m:oMath>
        <m:r>
          <m:t>G</m:t>
        </m:r>
      </m:oMath>
      <w:r>
        <w:t xml:space="preserve"> </w:t>
      </w:r>
      <w:r>
        <w:rPr>
          <w:rFonts w:hint="eastAsia"/>
        </w:rPr>
        <w:t xml:space="preserve">が電界ベクトルの2次形式で表されるとき、</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sSub>
            <m:e>
              <m:r>
                <m:t>ϵ</m:t>
              </m:r>
            </m:e>
            <m:sub>
              <m:r>
                <m:t>i</m:t>
              </m:r>
              <m:r>
                <m:t>j</m:t>
              </m:r>
            </m:sub>
          </m:sSub>
          <m:sSup>
            <m:e>
              <m:r>
                <m:t>E</m:t>
              </m:r>
            </m:e>
            <m:sup>
              <m:r>
                <m:t>i</m:t>
              </m:r>
            </m:sup>
          </m:sSup>
          <m:sSup>
            <m:e>
              <m:r>
                <m:t>E</m:t>
              </m:r>
            </m:e>
            <m:sup>
              <m:r>
                <m:t>j</m:t>
              </m:r>
            </m:sup>
          </m:sSup>
        </m:oMath>
      </m:oMathPara>
    </w:p>
    <w:p>
      <w:pPr>
        <w:pStyle w:val="FirstParagraph"/>
      </w:pPr>
      <w:r>
        <w:t xml:space="preserve">ここで</w:t>
      </w:r>
      <w:r>
        <w:t xml:space="preserve"> </w:t>
      </w:r>
      <m:oMath>
        <m:sSup>
          <m:e>
            <m:r>
              <m:t>E</m:t>
            </m:r>
          </m:e>
          <m:sup>
            <m:r>
              <m:t>i</m:t>
            </m:r>
          </m:sup>
        </m:sSup>
      </m:oMath>
      <w:r>
        <w:t xml:space="preserve"> </w:t>
      </w:r>
      <w:r>
        <w:rPr>
          <w:rFonts w:hint="eastAsia"/>
        </w:rPr>
        <w:t xml:space="preserve">は反変ベクトルです。</w:t>
      </w:r>
      <m:oMath>
        <m:r>
          <m:t>G</m:t>
        </m:r>
      </m:oMath>
      <w:r>
        <w:t xml:space="preserve"> </w:t>
      </w:r>
      <w:r>
        <w:t xml:space="preserve">はスカラーであるため、</w:t>
      </w:r>
      <m:oMath>
        <m:sSub>
          <m:e>
            <m:r>
              <m:t>ϵ</m:t>
            </m:r>
          </m:e>
          <m:sub>
            <m:r>
              <m:t>i</m:t>
            </m:r>
            <m:r>
              <m:t>j</m:t>
            </m:r>
          </m:sub>
        </m:sSub>
      </m:oMath>
      <w:r>
        <w:t xml:space="preserve"> </w:t>
      </w:r>
      <w:r>
        <w:t xml:space="preserve">は</w:t>
      </w:r>
      <w:r>
        <w:rPr>
          <w:rFonts w:hint="eastAsia"/>
          <w:b/>
          <w:bCs/>
        </w:rPr>
        <w:t xml:space="preserve">2階共変テンソル</w:t>
      </w:r>
      <w:r>
        <w:t xml:space="preserve">であるとわかります。</w:t>
      </w:r>
      <w:r>
        <w:t xml:space="preserve"> </w:t>
      </w:r>
      <w:r>
        <w:t xml:space="preserve">*</w:t>
      </w:r>
      <w:r>
        <w:t xml:space="preserve"> </w:t>
      </w:r>
      <w:r>
        <w:rPr>
          <w:b/>
          <w:bCs/>
        </w:rPr>
        <w:t xml:space="preserve">ひずみテンソル</w:t>
      </w:r>
      <w:r>
        <w:rPr>
          <w:b/>
          <w:bCs/>
        </w:rPr>
        <w:t xml:space="preserve"> </w:t>
      </w:r>
      <m:oMath>
        <m:sSubSup>
          <m:e>
            <m:r>
              <m:t>ϵ</m:t>
            </m:r>
          </m:e>
          <m:sub>
            <m:r>
              <m:t>j</m:t>
            </m:r>
          </m:sub>
          <m:sup>
            <m:r>
              <m:t>i</m:t>
            </m:r>
          </m:sup>
        </m:sSubSup>
      </m:oMath>
      <w:r>
        <w:t xml:space="preserve">: </w:t>
      </w:r>
      <w:r>
        <w:rPr>
          <w:rFonts w:hint="eastAsia"/>
        </w:rPr>
        <w:t xml:space="preserve">空間の微小変位</w:t>
      </w:r>
      <w:r>
        <w:t xml:space="preserve"> </w:t>
      </w:r>
      <m:oMath>
        <m:r>
          <m:rPr>
            <m:sty m:val="p"/>
          </m:rPr>
          <m:t>Δ</m:t>
        </m:r>
        <m:sSup>
          <m:e>
            <m:r>
              <m:t>x</m:t>
            </m:r>
          </m:e>
          <m:sup>
            <m:r>
              <m:t>i</m:t>
            </m:r>
          </m:sup>
        </m:sSup>
      </m:oMath>
      <w:r>
        <w:rPr>
          <w:rFonts w:hint="eastAsia"/>
        </w:rPr>
        <w:t xml:space="preserve">（反変ベクトル）を位置</w:t>
      </w:r>
      <w:r>
        <w:t xml:space="preserve"> </w:t>
      </w:r>
      <m:oMath>
        <m:sSup>
          <m:e>
            <m:r>
              <m:t>x</m:t>
            </m:r>
          </m:e>
          <m:sup>
            <m:r>
              <m:t>j</m:t>
            </m:r>
          </m:sup>
        </m:sSup>
      </m:oMath>
      <w:r>
        <w:rPr>
          <w:rFonts w:hint="eastAsia"/>
        </w:rPr>
        <w:t xml:space="preserve">（反変ベクトル）で微分した量として定義されます。</w:t>
      </w:r>
    </w:p>
    <w:p>
      <w:pPr>
        <w:pStyle w:val="BodyText"/>
      </w:pPr>
      <m:oMathPara>
        <m:oMathParaPr>
          <m:jc m:val="center"/>
        </m:oMathParaPr>
        <m:oMath>
          <m:sSubSup>
            <m:e>
              <m:r>
                <m:t>ϵ</m:t>
              </m:r>
            </m:e>
            <m:sub>
              <m:r>
                <m:t>j</m:t>
              </m:r>
            </m:sub>
            <m:sup>
              <m:r>
                <m:t>i</m:t>
              </m:r>
            </m:sup>
          </m:sSubSup>
          <m:r>
            <m:rPr>
              <m:sty m:val="p"/>
            </m:rPr>
            <m:t>=</m:t>
          </m:r>
          <m:f>
            <m:fPr>
              <m:type m:val="bar"/>
            </m:fPr>
            <m:num>
              <m:r>
                <m:rPr>
                  <m:sty m:val="p"/>
                </m:rPr>
                <m:t>∂</m:t>
              </m:r>
              <m:r>
                <m:rPr>
                  <m:sty m:val="p"/>
                </m:rPr>
                <m:t>(</m:t>
              </m:r>
              <m:r>
                <m:rPr>
                  <m:sty m:val="p"/>
                </m:rPr>
                <m:t>Δ</m:t>
              </m:r>
              <m:sSup>
                <m:e>
                  <m:r>
                    <m:t>x</m:t>
                  </m:r>
                </m:e>
                <m:sup>
                  <m:r>
                    <m:t>i</m:t>
                  </m:r>
                </m:sup>
              </m:sSup>
              <m:r>
                <m:rPr>
                  <m:sty m:val="p"/>
                </m:rPr>
                <m:t>)</m:t>
              </m:r>
            </m:num>
            <m:den>
              <m:r>
                <m:rPr>
                  <m:sty m:val="p"/>
                </m:rPr>
                <m:t>∂</m:t>
              </m:r>
              <m:sSup>
                <m:e>
                  <m:r>
                    <m:t>x</m:t>
                  </m:r>
                </m:e>
                <m:sup>
                  <m:r>
                    <m:t>j</m:t>
                  </m:r>
                </m:sup>
              </m:sSup>
            </m:den>
          </m:f>
        </m:oMath>
      </m:oMathPara>
    </w:p>
    <w:p>
      <w:pPr>
        <w:pStyle w:val="FirstParagraph"/>
      </w:pPr>
      <w:r>
        <w:rPr>
          <w:rFonts w:hint="eastAsia"/>
        </w:rPr>
        <w:t xml:space="preserve">これは、反変添え字</w:t>
      </w:r>
      <w:r>
        <w:t xml:space="preserve"> </w:t>
      </w:r>
      <m:oMath>
        <m:r>
          <m:t>i</m:t>
        </m:r>
      </m:oMath>
      <w:r>
        <w:t xml:space="preserve"> </w:t>
      </w:r>
      <w:r>
        <w:rPr>
          <w:rFonts w:hint="eastAsia"/>
        </w:rPr>
        <w:t xml:space="preserve">と共変添え字</w:t>
      </w:r>
      <w:r>
        <w:t xml:space="preserve"> </w:t>
      </w:r>
      <m:oMath>
        <m:r>
          <m:t>j</m:t>
        </m:r>
      </m:oMath>
      <w:r>
        <w:t xml:space="preserve"> </w:t>
      </w:r>
      <w:r>
        <w:rPr>
          <w:rFonts w:hint="eastAsia"/>
        </w:rPr>
        <w:t xml:space="preserve">を一つずつ持つ</w:t>
      </w:r>
      <w:r>
        <w:rPr>
          <w:rFonts w:hint="eastAsia"/>
          <w:b/>
          <w:bCs/>
        </w:rPr>
        <w:t xml:space="preserve">2階混合テンソル</w:t>
      </w:r>
      <w:r>
        <w:t xml:space="preserve">です。</w:t>
      </w:r>
      <w:r>
        <w:t xml:space="preserve"> </w:t>
      </w:r>
      <w:r>
        <w:t xml:space="preserve">*</w:t>
      </w:r>
      <w:r>
        <w:t xml:space="preserve"> </w:t>
      </w:r>
      <w:r>
        <w:rPr>
          <w:rFonts w:hint="eastAsia"/>
          <w:b/>
          <w:bCs/>
        </w:rPr>
        <w:t xml:space="preserve">弾性テンソル</w:t>
      </w:r>
      <w:r>
        <w:rPr>
          <w:b/>
          <w:bCs/>
        </w:rPr>
        <w:t xml:space="preserve"> </w:t>
      </w:r>
      <m:oMath>
        <m:sSubSup>
          <m:e>
            <m:r>
              <m:t>C</m:t>
            </m:r>
          </m:e>
          <m:sub>
            <m:r>
              <m:t>k</m:t>
            </m:r>
            <m:r>
              <m:t>l</m:t>
            </m:r>
          </m:sub>
          <m:sup>
            <m:r>
              <m:t>i</m:t>
            </m:r>
            <m:r>
              <m:t>j</m:t>
            </m:r>
          </m:sup>
        </m:sSubSup>
      </m:oMath>
      <w:r>
        <w:t xml:space="preserve">: </w:t>
      </w:r>
      <w:r>
        <w:rPr>
          <w:rFonts w:hint="eastAsia"/>
        </w:rPr>
        <w:t xml:space="preserve">自由エネルギーがひずみテンソルの2次形式で表されるとき、</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sSubSup>
            <m:e>
              <m:r>
                <m:t>C</m:t>
              </m:r>
            </m:e>
            <m:sub>
              <m:r>
                <m:t>k</m:t>
              </m:r>
              <m:r>
                <m:t>l</m:t>
              </m:r>
            </m:sub>
            <m:sup>
              <m:r>
                <m:t>i</m:t>
              </m:r>
              <m:r>
                <m:t>j</m:t>
              </m:r>
            </m:sup>
          </m:sSubSup>
          <m:sSubSup>
            <m:e>
              <m:r>
                <m:t>ϵ</m:t>
              </m:r>
            </m:e>
            <m:sub>
              <m:r>
                <m:t>j</m:t>
              </m:r>
            </m:sub>
            <m:sup>
              <m:r>
                <m:t>i</m:t>
              </m:r>
            </m:sup>
          </m:sSubSup>
          <m:sSubSup>
            <m:e>
              <m:r>
                <m:t>ϵ</m:t>
              </m:r>
            </m:e>
            <m:sub>
              <m:r>
                <m:t>l</m:t>
              </m:r>
            </m:sub>
            <m:sup>
              <m:r>
                <m:t>k</m:t>
              </m:r>
            </m:sup>
          </m:sSubSup>
        </m:oMath>
      </m:oMathPara>
    </w:p>
    <w:p>
      <w:pPr>
        <w:pStyle w:val="FirstParagraph"/>
      </w:pPr>
      <w:r>
        <w:rPr>
          <w:rFonts w:hint="eastAsia"/>
        </w:rPr>
        <w:t xml:space="preserve">これは、反変添え字2つ、共変添え字2つを持つ</w:t>
      </w:r>
      <w:r>
        <w:rPr>
          <w:rFonts w:hint="eastAsia"/>
          <w:b/>
          <w:bCs/>
        </w:rPr>
        <w:t xml:space="preserve">4階混合テンソル</w:t>
      </w:r>
      <w:r>
        <w:t xml:space="preserve">であるとわかります。</w:t>
      </w:r>
    </w:p>
    <w:p>
      <w:pPr>
        <w:pStyle w:val="BodyText"/>
      </w:pPr>
      <w:r>
        <w:rPr>
          <w:rFonts w:hint="eastAsia"/>
          <w:b/>
          <w:bCs/>
        </w:rPr>
        <w:t xml:space="preserve">材料物性計算における注意点</w:t>
      </w:r>
      <w:r>
        <w:t xml:space="preserve"> </w:t>
      </w:r>
      <w:r>
        <w:rPr>
          <w:rFonts w:hint="eastAsia"/>
        </w:rPr>
        <w:t xml:space="preserve">非直交座標系でのベクトル解析は、理論解析において非常に強力なツールですが、実際の材料の物性テンソル成分と直接関係づけるのは必ずしも簡単ではありません。</w:t>
      </w:r>
      <w:r>
        <w:t xml:space="preserve"> </w:t>
      </w:r>
      <w:r>
        <w:t xml:space="preserve">*</w:t>
      </w:r>
      <w:r>
        <w:t xml:space="preserve"> </w:t>
      </w:r>
      <w:r>
        <w:rPr>
          <w:rFonts w:hint="eastAsia"/>
          <w:b/>
          <w:bCs/>
        </w:rPr>
        <w:t xml:space="preserve">単結晶の場合</w:t>
      </w:r>
      <w:r>
        <w:t xml:space="preserve">: </w:t>
      </w:r>
      <w:r>
        <w:rPr>
          <w:rFonts w:hint="eastAsia"/>
        </w:rPr>
        <w:t xml:space="preserve">単位格子の軸方向が明確に定義されているため、テンソル成分を対応づけることができます。</w:t>
      </w:r>
      <w:r>
        <w:t xml:space="preserve"> </w:t>
      </w:r>
      <w:r>
        <w:t xml:space="preserve">*</w:t>
      </w:r>
      <w:r>
        <w:t xml:space="preserve"> </w:t>
      </w:r>
      <w:r>
        <w:rPr>
          <w:rFonts w:hint="eastAsia"/>
          <w:b/>
          <w:bCs/>
        </w:rPr>
        <w:t xml:space="preserve">多結晶の場合</w:t>
      </w:r>
      <w:r>
        <w:t xml:space="preserve">: </w:t>
      </w:r>
      <w:r>
        <w:rPr>
          <w:rFonts w:hint="eastAsia"/>
        </w:rPr>
        <w:t xml:space="preserve">平均的な物性値を扱う場合、テンソルを対角化して主値（固有値）を求め、その平均値を取るなどの処理が必要になります。これは、基底ベクトルをテンソルの主軸に合わせる座標回転に対応します。</w:t>
      </w:r>
      <w:r>
        <w:t xml:space="preserve"> </w:t>
      </w:r>
      <w:r>
        <w:t xml:space="preserve">*</w:t>
      </w:r>
      <w:r>
        <w:t xml:space="preserve"> </w:t>
      </w:r>
      <w:r>
        <w:rPr>
          <w:rFonts w:hint="eastAsia"/>
          <w:b/>
          <w:bCs/>
        </w:rPr>
        <w:t xml:space="preserve">理論計算ソフトウェア</w:t>
      </w:r>
      <w:r>
        <w:t xml:space="preserve">: </w:t>
      </w:r>
      <w:r>
        <w:rPr>
          <w:rFonts w:hint="eastAsia"/>
        </w:rPr>
        <w:t xml:space="preserve">VASP（Vienna</w:t>
      </w:r>
      <w:r>
        <w:t xml:space="preserve"> Ab initio Simulation </w:t>
      </w:r>
      <w:r>
        <w:rPr>
          <w:rFonts w:hint="eastAsia"/>
        </w:rPr>
        <w:t xml:space="preserve">Package）などの第一原理計算ソフトウェアは、通常、単位格子の基本ベクトルに対するデカルト座標系（直交座標系）で物性テンソル成分を出力します。POSCARファイル（VASPの入力ファイル）で格子ベクトルをデカルト座標で表現している場合、その方位に従って、誘電率テンソル、弾性定数テンソル、ボルン有効電荷テンソルなどの物性テンソルが出力されます。したがって、計算結果を扱う際には、どの座標系におけるテンソル成分であるかを常に意識する必要があります。</w:t>
      </w:r>
    </w:p>
    <w:bookmarkEnd w:id="19"/>
    <w:bookmarkStart w:id="20" w:name="共変座標と反変座標"/>
    <w:p>
      <w:pPr>
        <w:pStyle w:val="Heading3"/>
      </w:pPr>
      <w:r>
        <w:t xml:space="preserve">2.6 </w:t>
      </w:r>
      <w:r>
        <w:rPr>
          <w:rFonts w:hint="eastAsia"/>
        </w:rPr>
        <w:t xml:space="preserve">共変座標と反変座標</w:t>
      </w:r>
    </w:p>
    <w:p>
      <w:pPr>
        <w:pStyle w:val="FirstParagraph"/>
      </w:pPr>
      <w:r>
        <w:rPr>
          <w:rFonts w:hint="eastAsia"/>
        </w:rPr>
        <w:t xml:space="preserve">最後に、共変座標と反変座標が、同じ基底ベクトルを用いた場合でも、異なる座標の取り方に対応するという考え方について軽く触れておきましょう。</w:t>
      </w:r>
    </w:p>
    <w:p>
      <w:pPr>
        <w:pStyle w:val="BodyText"/>
      </w:pPr>
      <w:r>
        <w:rPr>
          <w:rFonts w:hint="eastAsia"/>
          <w:b/>
          <w:bCs/>
        </w:rPr>
        <w:t xml:space="preserve">斜交座標系（反変座標）</w:t>
      </w:r>
      <w:r>
        <w:t xml:space="preserve"> </w:t>
      </w:r>
      <w:r>
        <w:rPr>
          <w:rFonts w:hint="eastAsia"/>
        </w:rPr>
        <w:t xml:space="preserve">一般的に、斜交座標系では、位置ベクトル</w:t>
      </w:r>
      <w:r>
        <w:t xml:space="preserve"> </w:t>
      </w:r>
      <m:oMath>
        <m:r>
          <m:rPr>
            <m:sty m:val="b"/>
          </m:rPr>
          <m:t>r</m:t>
        </m:r>
      </m:oMath>
      <w:r>
        <w:t xml:space="preserve"> </w:t>
      </w:r>
      <w:r>
        <w:rPr>
          <w:rFonts w:hint="eastAsia"/>
        </w:rPr>
        <w:t xml:space="preserve">を2つの基底ベクトル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を用いて</w:t>
      </w:r>
      <w:r>
        <w:t xml:space="preserve"> </w:t>
      </w: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w:r>
        <w:t xml:space="preserve"> </w:t>
      </w:r>
      <w:r>
        <w:rPr>
          <w:rFonts w:hint="eastAsia"/>
        </w:rPr>
        <w:t xml:space="preserve">と表します。このとき、</w:t>
      </w:r>
      <m:oMath>
        <m:sSup>
          <m:e>
            <m:r>
              <m:t>x</m:t>
            </m:r>
          </m:e>
          <m:sup>
            <m:r>
              <m:t>1</m:t>
            </m:r>
          </m:sup>
        </m:sSup>
      </m:oMath>
      <w:r>
        <w:t xml:space="preserve"> </w:t>
      </w:r>
      <w:r>
        <w:t xml:space="preserve">は</w:t>
      </w:r>
      <w:r>
        <w:t xml:space="preserve"> </w:t>
      </w:r>
      <m:oMath>
        <m:sSub>
          <m:e>
            <m:r>
              <m:rPr>
                <m:sty m:val="b"/>
              </m:rPr>
              <m:t>a</m:t>
            </m:r>
          </m:e>
          <m:sub>
            <m:r>
              <m:t>2</m:t>
            </m:r>
          </m:sub>
        </m:sSub>
      </m:oMath>
      <w:r>
        <w:t xml:space="preserve"> </w:t>
      </w:r>
      <w:r>
        <w:rPr>
          <w:rFonts w:hint="eastAsia"/>
        </w:rPr>
        <w:t xml:space="preserve">に平行な線に沿って</w:t>
      </w:r>
      <w:r>
        <w:t xml:space="preserve"> </w:t>
      </w:r>
      <m:oMath>
        <m:sSub>
          <m:e>
            <m:r>
              <m:rPr>
                <m:sty m:val="b"/>
              </m:rPr>
              <m:t>a</m:t>
            </m:r>
          </m:e>
          <m:sub>
            <m:r>
              <m:t>1</m:t>
            </m:r>
          </m:sub>
        </m:sSub>
      </m:oMath>
      <w:r>
        <w:t xml:space="preserve"> </w:t>
      </w:r>
      <w:r>
        <w:rPr>
          <w:rFonts w:hint="eastAsia"/>
        </w:rPr>
        <w:t xml:space="preserve">軸に射影した値、というように読み取られます。これは「反変座標」に対応します（スライド26の「座標1</w:t>
      </w:r>
      <w:r>
        <w:t xml:space="preserve"> </w:t>
      </w:r>
      <w:r>
        <w:rPr>
          <w:rFonts w:hint="eastAsia"/>
        </w:rPr>
        <w:t xml:space="preserve">(基底座標系,</w:t>
      </w:r>
      <w:r>
        <w:t xml:space="preserve"> </w:t>
      </w:r>
      <w:r>
        <w:rPr>
          <w:rFonts w:hint="eastAsia"/>
        </w:rPr>
        <w:t xml:space="preserve">斜座標系)」の図）。</w:t>
      </w:r>
    </w:p>
    <w:p>
      <w:pPr>
        <w:pStyle w:val="BodyText"/>
      </w:pPr>
      <w:r>
        <w:rPr>
          <w:rFonts w:hint="eastAsia"/>
          <w:b/>
          <w:bCs/>
        </w:rPr>
        <w:t xml:space="preserve">直交射影座標系（共変座標）</w:t>
      </w:r>
      <w:r>
        <w:t xml:space="preserve"> </w:t>
      </w:r>
      <w:r>
        <w:rPr>
          <w:rFonts w:hint="eastAsia"/>
        </w:rPr>
        <w:t xml:space="preserve">これに対し、位置ベクトル</w:t>
      </w:r>
      <w:r>
        <w:t xml:space="preserve"> </w:t>
      </w:r>
      <m:oMath>
        <m:r>
          <m:rPr>
            <m:sty m:val="b"/>
          </m:rPr>
          <m:t>r</m:t>
        </m:r>
      </m:oMath>
      <w:r>
        <w:t xml:space="preserve"> </w:t>
      </w:r>
      <w:r>
        <w:rPr>
          <w:rFonts w:hint="eastAsia"/>
        </w:rPr>
        <w:t xml:space="preserve">を基底ベクトル</w:t>
      </w:r>
      <w:r>
        <w:t xml:space="preserve"> </w:t>
      </w:r>
      <m:oMath>
        <m:sSub>
          <m:e>
            <m:r>
              <m:rPr>
                <m:sty m:val="b"/>
              </m:rPr>
              <m:t>a</m:t>
            </m:r>
          </m:e>
          <m:sub>
            <m:r>
              <m:t>1</m:t>
            </m:r>
          </m:sub>
        </m:sSub>
      </m:oMath>
      <w:r>
        <w:t xml:space="preserve"> </w:t>
      </w:r>
      <w:r>
        <w:rPr>
          <w:rFonts w:hint="eastAsia"/>
        </w:rPr>
        <w:t xml:space="preserve">に垂直に射影して得られる座標値を考えることもできます。つまり、</w:t>
      </w:r>
      <m:oMath>
        <m:r>
          <m:rPr>
            <m:sty m:val="b"/>
          </m:rPr>
          <m:t>r</m:t>
        </m:r>
      </m:oMath>
      <w:r>
        <w:t xml:space="preserve"> </w:t>
      </w:r>
      <w:r>
        <w:t xml:space="preserve">から</w:t>
      </w:r>
      <w:r>
        <w:t xml:space="preserve"> </w:t>
      </w:r>
      <m:oMath>
        <m:sSub>
          <m:e>
            <m:r>
              <m:rPr>
                <m:sty m:val="b"/>
              </m:rPr>
              <m:t>a</m:t>
            </m:r>
          </m:e>
          <m:sub>
            <m:r>
              <m:t>1</m:t>
            </m:r>
          </m:sub>
        </m:sSub>
      </m:oMath>
      <w:r>
        <w:t xml:space="preserve"> </w:t>
      </w:r>
      <w:r>
        <w:rPr>
          <w:rFonts w:hint="eastAsia"/>
        </w:rPr>
        <w:t xml:space="preserve">に下ろした垂線の足が与える座標です。これは「共変座標」に対応します。</w:t>
      </w:r>
    </w:p>
    <w:p>
      <w:pPr>
        <w:pStyle w:val="BodyText"/>
      </w:pPr>
      <w:r>
        <w:rPr>
          <w:rFonts w:hint="eastAsia"/>
        </w:rPr>
        <w:t xml:space="preserve">興味深いことに、この「直交射影座標系」は、実空間の基底ベクトル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の逆格子ベクトル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oMath>
      <w:r>
        <w:t xml:space="preserve"> </w:t>
      </w:r>
      <w:r>
        <w:rPr>
          <w:rFonts w:hint="eastAsia"/>
        </w:rPr>
        <w:t xml:space="preserve">を用いた斜交座標系と同じであると考えることができます。スライド26の「座標2</w:t>
      </w:r>
      <w:r>
        <w:t xml:space="preserve"> </w:t>
      </w:r>
      <w:r>
        <w:rPr>
          <w:rFonts w:hint="eastAsia"/>
        </w:rPr>
        <w:t xml:space="preserve">(正射影座標系)」の図では、</w:t>
      </w:r>
      <m:oMath>
        <m:r>
          <m:rPr>
            <m:sty m:val="b"/>
          </m:rPr>
          <m:t>r</m:t>
        </m:r>
      </m:oMath>
      <w:r>
        <w:t xml:space="preserve"> </w:t>
      </w:r>
      <w:r>
        <w:t xml:space="preserve">を</w:t>
      </w:r>
      <w:r>
        <w:t xml:space="preserve"> </w:t>
      </w:r>
      <m:oMath>
        <m:sSub>
          <m:e>
            <m:r>
              <m:rPr>
                <m:sty m:val="b"/>
              </m:rPr>
              <m:t>a</m:t>
            </m:r>
          </m:e>
          <m:sub>
            <m:r>
              <m:t>1</m:t>
            </m:r>
          </m:sub>
        </m:sSub>
      </m:oMath>
      <w:r>
        <w:t xml:space="preserve"> </w:t>
      </w:r>
      <w:r>
        <w:rPr>
          <w:rFonts w:hint="eastAsia"/>
        </w:rPr>
        <w:t xml:space="preserve">に垂直に射影して得られる</w:t>
      </w:r>
      <w:r>
        <w:t xml:space="preserve"> </w:t>
      </w:r>
      <m:oMath>
        <m:sSub>
          <m:e>
            <m:sSup>
              <m:e>
                <m:r>
                  <m:t>x</m:t>
                </m:r>
              </m:e>
              <m:sup>
                <m:r>
                  <m:rPr>
                    <m:sty m:val="p"/>
                  </m:rPr>
                  <m:t>′</m:t>
                </m:r>
              </m:sup>
            </m:sSup>
          </m:e>
          <m:sub>
            <m:r>
              <m:t>1</m:t>
            </m:r>
          </m:sub>
        </m:sSub>
      </m:oMath>
      <w:r>
        <w:t xml:space="preserve"> </w:t>
      </w:r>
      <w:r>
        <w:rPr>
          <w:rFonts w:hint="eastAsia"/>
        </w:rPr>
        <w:t xml:space="preserve">が、逆格子ベクトル</w:t>
      </w:r>
      <w:r>
        <w:t xml:space="preserve"> </w:t>
      </w:r>
      <m:oMath>
        <m:sSubSup>
          <m:e>
            <m:r>
              <m:rPr>
                <m:sty m:val="b"/>
              </m:rPr>
              <m:t>a</m:t>
            </m:r>
          </m:e>
          <m:sub>
            <m:r>
              <m:t>1</m:t>
            </m:r>
          </m:sub>
          <m:sup>
            <m:r>
              <m:rPr>
                <m:sty m:val="p"/>
              </m:rPr>
              <m:t>*</m:t>
            </m:r>
          </m:sup>
        </m:sSubSup>
      </m:oMath>
      <w:r>
        <w:t xml:space="preserve"> </w:t>
      </w:r>
      <w:r>
        <w:rPr>
          <w:rFonts w:hint="eastAsia"/>
        </w:rPr>
        <w:t xml:space="preserve">を基底とした反変座標と一致することが示されています。</w:t>
      </w:r>
    </w:p>
    <w:p>
      <w:pPr>
        <w:pStyle w:val="BodyText"/>
      </w:pPr>
      <w:r>
        <w:rPr>
          <w:rFonts w:hint="eastAsia"/>
        </w:rPr>
        <w:t xml:space="preserve">このことから、実空間における共変基底ベクトル</w:t>
      </w:r>
      <w:r>
        <w:t xml:space="preserve"> </w:t>
      </w:r>
      <m:oMath>
        <m:sSub>
          <m:e>
            <m:r>
              <m:rPr>
                <m:sty m:val="b"/>
              </m:rPr>
              <m:t>a</m:t>
            </m:r>
          </m:e>
          <m:sub>
            <m:r>
              <m:t>i</m:t>
            </m:r>
          </m:sub>
        </m:sSub>
      </m:oMath>
      <w:r>
        <w:t xml:space="preserve"> </w:t>
      </w:r>
      <w:r>
        <w:rPr>
          <w:rFonts w:hint="eastAsia"/>
        </w:rPr>
        <w:t xml:space="preserve">に対応する反変座標</w:t>
      </w:r>
      <w:r>
        <w:t xml:space="preserve"> </w:t>
      </w:r>
      <m:oMath>
        <m:sSup>
          <m:e>
            <m:r>
              <m:t>x</m:t>
            </m:r>
          </m:e>
          <m:sup>
            <m:r>
              <m:t>i</m:t>
            </m:r>
          </m:sup>
        </m:sSup>
      </m:oMath>
      <w:r>
        <w:t xml:space="preserve"> </w:t>
      </w:r>
      <w:r>
        <w:rPr>
          <w:rFonts w:hint="eastAsia"/>
        </w:rPr>
        <w:t xml:space="preserve">と、逆空間における反変基底ベクトル</w:t>
      </w:r>
      <w:r>
        <w:t xml:space="preserve"> </w:t>
      </w:r>
      <m:oMath>
        <m:sSup>
          <m:e>
            <m:r>
              <m:rPr>
                <m:sty m:val="b"/>
              </m:rPr>
              <m:t>a</m:t>
            </m:r>
          </m:e>
          <m:sup>
            <m:r>
              <m:rPr>
                <m:sty m:val="p"/>
              </m:rPr>
              <m:t>*</m:t>
            </m:r>
            <m:r>
              <m:t>i</m:t>
            </m:r>
          </m:sup>
        </m:sSup>
      </m:oMath>
      <w:r>
        <w:t xml:space="preserve"> </w:t>
      </w:r>
      <w:r>
        <w:rPr>
          <w:rFonts w:hint="eastAsia"/>
        </w:rPr>
        <w:t xml:space="preserve">に対応する共変座標</w:t>
      </w:r>
      <w:r>
        <w:t xml:space="preserve"> </w:t>
      </w:r>
      <m:oMath>
        <m:sSub>
          <m:e>
            <m:r>
              <m:t>h</m:t>
            </m:r>
          </m:e>
          <m:sub>
            <m:r>
              <m:t>i</m:t>
            </m:r>
          </m:sub>
        </m:sSub>
      </m:oMath>
      <w:r>
        <w:t xml:space="preserve"> </w:t>
      </w:r>
      <w:r>
        <w:rPr>
          <w:rFonts w:hint="eastAsia"/>
        </w:rPr>
        <w:t xml:space="preserve">(ミラー指数)</w:t>
      </w:r>
      <w:r>
        <w:t xml:space="preserve"> </w:t>
      </w:r>
      <w:r>
        <w:rPr>
          <w:rFonts w:hint="eastAsia"/>
        </w:rPr>
        <w:t xml:space="preserve">は、同じベクトルを異なる視点から記述しているに過ぎない、という深い理解に繋がります。</w:t>
      </w:r>
    </w:p>
    <w:bookmarkEnd w:id="20"/>
    <w:bookmarkEnd w:id="21"/>
    <w:bookmarkStart w:id="24" w:name="まとめ"/>
    <w:p>
      <w:pPr>
        <w:pStyle w:val="Heading2"/>
      </w:pPr>
      <w:r>
        <w:t xml:space="preserve">まとめ</w:t>
      </w:r>
    </w:p>
    <w:p>
      <w:pPr>
        <w:pStyle w:val="FirstParagraph"/>
      </w:pPr>
      <w:r>
        <w:rPr>
          <w:rFonts w:hint="eastAsia"/>
        </w:rPr>
        <w:t xml:space="preserve">本講義では、まず材料科学における逆格子の重要性を、X線回折やバンド理論を例に挙げながら解説しました。逆格子の幾何学的定義、そして消滅則を考慮することで逆格子のBravais格子が一意に決まることを学びました。次に、一般座標変換の下でのベクトルの振る舞いを記述する「共変ベクトル」と「反変ベクトル」の概念を導入し、それぞれの変換則を明確にしました。計量テンソルの役割、共変・反変ベクトルの内積が不変量となること、そしてアインシュタインの縮約記法が物理法則の記述にいかに有用であるかを理解しました。最後に、物性テンソルへの応用例を通じて、このテンソル解析が理論解析に非常に役立つことを確認しました。これらの概念は、現代の材料科学を深く理解し、新たな材料設計を行う上で不可欠な基礎知識となります。</w:t>
      </w:r>
    </w:p>
    <w:bookmarkStart w:id="22" w:name="参考文献関連プログラム"/>
    <w:p>
      <w:pPr>
        <w:pStyle w:val="Heading3"/>
      </w:pPr>
      <w:r>
        <w:rPr>
          <w:rFonts w:hint="eastAsia"/>
        </w:rPr>
        <w:t xml:space="preserve">参考文献・関連プログラム</w:t>
      </w:r>
    </w:p>
    <w:p>
      <w:pPr>
        <w:pStyle w:val="Compact"/>
        <w:numPr>
          <w:ilvl w:val="0"/>
          <w:numId w:val="1010"/>
        </w:numPr>
      </w:pPr>
      <w:r>
        <w:t xml:space="preserve">Ashcroft, N. W., &amp; Mermin, N. D. (1976).</w:t>
      </w:r>
      <w:r>
        <w:t xml:space="preserve"> </w:t>
      </w:r>
      <w:r>
        <w:rPr>
          <w:i/>
          <w:iCs/>
        </w:rPr>
        <w:t xml:space="preserve">Solid State Physics</w:t>
      </w:r>
      <w:r>
        <w:t xml:space="preserve">. Saunders College.</w:t>
      </w:r>
    </w:p>
    <w:p>
      <w:pPr>
        <w:pStyle w:val="Compact"/>
        <w:numPr>
          <w:ilvl w:val="0"/>
          <w:numId w:val="1010"/>
        </w:numPr>
      </w:pPr>
      <w:r>
        <w:t xml:space="preserve">Kittel, C. (2005).</w:t>
      </w:r>
      <w:r>
        <w:t xml:space="preserve"> </w:t>
      </w:r>
      <w:r>
        <w:rPr>
          <w:i/>
          <w:iCs/>
        </w:rPr>
        <w:t xml:space="preserve">Introduction to Solid State Physics</w:t>
      </w:r>
      <w:r>
        <w:t xml:space="preserve">. Wiley.</w:t>
      </w:r>
    </w:p>
    <w:p>
      <w:pPr>
        <w:pStyle w:val="Compact"/>
        <w:numPr>
          <w:ilvl w:val="0"/>
          <w:numId w:val="1010"/>
        </w:numPr>
      </w:pPr>
      <w:r>
        <w:t xml:space="preserve">python [data-COE]</w:t>
      </w:r>
      <w:r>
        <w:t xml:space="preserve">_draw_cell.py: </w:t>
      </w:r>
      <w:r>
        <w:rPr>
          <w:rFonts w:hint="eastAsia"/>
        </w:rPr>
        <w:t xml:space="preserve">結晶構造と逆格子単位胞の可視化</w:t>
      </w:r>
    </w:p>
    <w:bookmarkEnd w:id="22"/>
    <w:bookmarkStart w:id="23" w:name="歴史的背景エピソード"/>
    <w:p>
      <w:pPr>
        <w:pStyle w:val="Heading3"/>
      </w:pPr>
      <w:r>
        <w:rPr>
          <w:rFonts w:hint="eastAsia"/>
        </w:rPr>
        <w:t xml:space="preserve">歴史的背景・エピソード</w:t>
      </w:r>
    </w:p>
    <w:p>
      <w:pPr>
        <w:pStyle w:val="Compact"/>
        <w:numPr>
          <w:ilvl w:val="0"/>
          <w:numId w:val="1011"/>
        </w:numPr>
      </w:pPr>
      <w:r>
        <w:rPr>
          <w:rFonts w:hint="eastAsia"/>
          <w:b/>
          <w:bCs/>
        </w:rPr>
        <w:t xml:space="preserve">ブラッグ父子のX線回折:</w:t>
      </w:r>
      <w:r>
        <w:t xml:space="preserve"> </w:t>
      </w:r>
      <w:r>
        <w:rPr>
          <w:rFonts w:hint="eastAsia"/>
        </w:rPr>
        <w:t xml:space="preserve">逆格子の概念は、1912年のX線回折の発見とその理論的解明に深く関わっています。ウィリアム・ヘンリー・ブラッグとウィリアム・ローレンス・ブラッグの父子（通称ブラッグ父子）は、X線回折の法則（ブラッグの法則）を導き出し、結晶構造解析の基礎を築きました。彼らの研究は、物理学と結晶学の発展に多大な貢献をし、1915年にはノーベル物理学賞を受賞しました。逆格子空間における回折点は、まさにブラッグの法則が成り立つ場所を指し示しています。</w:t>
      </w:r>
    </w:p>
    <w:p>
      <w:pPr>
        <w:pStyle w:val="Compact"/>
        <w:numPr>
          <w:ilvl w:val="0"/>
          <w:numId w:val="1011"/>
        </w:numPr>
      </w:pPr>
      <w:r>
        <w:rPr>
          <w:rFonts w:hint="eastAsia"/>
          <w:b/>
          <w:bCs/>
        </w:rPr>
        <w:t xml:space="preserve">アインシュタインの縮約記法:</w:t>
      </w:r>
      <w:r>
        <w:t xml:space="preserve"> </w:t>
      </w:r>
      <w:r>
        <w:rPr>
          <w:rFonts w:hint="eastAsia"/>
        </w:rPr>
        <w:t xml:space="preserve">この記法は、アルベルト・アインシュタインが1916年に一般相対性理論を発表する際に導入されました。一般相対性理論は、時空の幾何学を記述するためにテンソル解析を駆使しており、複雑なテンソル方程式を簡潔に記述するためにこの記法が不可欠でした。添え字の上げ下げや縮約のルールは、一見すると難解ですが、慣れると方程式の構造や物理的意味を直感的に理解するのに役立ちます。</w:t>
      </w:r>
    </w:p>
    <w:bookmarkEnd w:id="23"/>
    <w:bookmarkEnd w:id="24"/>
    <w:bookmarkEnd w:id="2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2025-09-21T03:41:30Z</dcterms:created>
  <dcterms:modified xsi:type="dcterms:W3CDTF">2025-09-21T03:41:30Z</dcterms:modified>
</cp:coreProperties>
</file>

<file path=docProps/custom.xml><?xml version="1.0" encoding="utf-8"?>
<Properties xmlns="http://schemas.openxmlformats.org/officeDocument/2006/custom-properties" xmlns:vt="http://schemas.openxmlformats.org/officeDocument/2006/docPropsVTypes"/>
</file>